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eastAsia="方正小标宋简体"/>
          <w:sz w:val="44"/>
          <w:szCs w:val="44"/>
          <w:lang w:val="en" w:eastAsia="zh-CN"/>
        </w:rPr>
      </w:pPr>
      <w:r>
        <w:rPr>
          <w:rFonts w:hint="eastAsia" w:ascii="方正小标宋简体" w:eastAsia="方正小标宋简体"/>
          <w:sz w:val="44"/>
          <w:szCs w:val="44"/>
          <w:lang w:val="en" w:eastAsia="zh-CN"/>
        </w:rPr>
        <w:t>坪山区产业公共服务平台运作绩效评价项目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招标方案</w:t>
      </w:r>
    </w:p>
    <w:p>
      <w:pPr>
        <w:keepNext w:val="0"/>
        <w:keepLines w:val="0"/>
        <w:pageBreakBefore w:val="0"/>
        <w:kinsoku/>
        <w:wordWrap/>
        <w:overflowPunct/>
        <w:topLinePunct w:val="0"/>
        <w:autoSpaceDE/>
        <w:autoSpaceDN/>
        <w:bidi w:val="0"/>
        <w:spacing w:after="0" w:line="56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仿宋"/>
          <w:kern w:val="2"/>
          <w:sz w:val="32"/>
          <w:szCs w:val="32"/>
          <w:lang w:val="zh-TW" w:eastAsia="zh-CN"/>
        </w:rPr>
      </w:pPr>
      <w:r>
        <w:rPr>
          <w:rFonts w:hint="eastAsia" w:ascii="黑体" w:hAnsi="黑体" w:eastAsia="黑体" w:cs="仿宋"/>
          <w:kern w:val="2"/>
          <w:sz w:val="32"/>
          <w:szCs w:val="32"/>
          <w:lang w:val="zh-TW"/>
        </w:rPr>
        <w:t>项目名称</w:t>
      </w:r>
      <w:r>
        <w:rPr>
          <w:rFonts w:hint="eastAsia" w:ascii="黑体" w:hAnsi="黑体" w:eastAsia="黑体" w:cs="仿宋"/>
          <w:kern w:val="2"/>
          <w:sz w:val="32"/>
          <w:szCs w:val="32"/>
          <w:lang w:val="zh-TW"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 w:eastAsia="zh-CN"/>
        </w:rPr>
        <w:t>坪山区产业公共服务平台运作绩效评价项目</w:t>
      </w:r>
      <w:r>
        <w:rPr>
          <w:rFonts w:hint="eastAsia" w:ascii="仿宋_GB2312" w:hAnsi="宋体" w:eastAsia="仿宋_GB2312"/>
          <w:sz w:val="32"/>
          <w:szCs w:val="32"/>
          <w:lang w:eastAsia="zh-CN"/>
        </w:rPr>
        <w:t>招标方案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黑体" w:hAnsi="黑体" w:eastAsia="黑体" w:cs="仿宋"/>
          <w:kern w:val="2"/>
          <w:sz w:val="32"/>
          <w:szCs w:val="32"/>
          <w:lang w:val="zh-TW"/>
        </w:rPr>
        <w:t>二、项目类型：</w:t>
      </w:r>
      <w:r>
        <w:rPr>
          <w:rFonts w:hint="eastAsia" w:ascii="仿宋_GB2312" w:hAnsi="宋体" w:eastAsia="仿宋_GB2312" w:cs="Times New Roman"/>
          <w:bCs/>
          <w:kern w:val="2"/>
          <w:sz w:val="32"/>
          <w:szCs w:val="32"/>
          <w:lang w:val="zh-TW" w:eastAsia="zh-CN" w:bidi="ar-SA"/>
        </w:rPr>
        <w:t>服务类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仿宋"/>
          <w:kern w:val="2"/>
          <w:sz w:val="32"/>
          <w:szCs w:val="32"/>
          <w:lang w:val="zh-TW"/>
        </w:rPr>
      </w:pPr>
      <w:r>
        <w:rPr>
          <w:rFonts w:hint="eastAsia" w:ascii="黑体" w:hAnsi="黑体" w:eastAsia="黑体" w:cs="仿宋"/>
          <w:kern w:val="2"/>
          <w:sz w:val="32"/>
          <w:szCs w:val="32"/>
          <w:lang w:val="zh-TW"/>
        </w:rPr>
        <w:t>三、预算金额及来源：</w:t>
      </w:r>
      <w:r>
        <w:rPr>
          <w:rFonts w:hint="eastAsia" w:ascii="仿宋_GB2312" w:hAnsi="宋体" w:eastAsia="仿宋_GB2312" w:cs="Times New Roman"/>
          <w:bCs/>
          <w:kern w:val="2"/>
          <w:sz w:val="32"/>
          <w:szCs w:val="32"/>
          <w:shd w:val="clear" w:color="auto" w:fill="auto"/>
          <w:lang w:val="zh-TW" w:eastAsia="zh-CN" w:bidi="ar-SA"/>
        </w:rPr>
        <w:t>本项目预算</w:t>
      </w:r>
      <w:r>
        <w:rPr>
          <w:rFonts w:hint="eastAsia" w:ascii="仿宋_GB2312" w:hAnsi="宋体" w:eastAsia="仿宋_GB2312" w:cs="Times New Roman"/>
          <w:bCs/>
          <w:kern w:val="2"/>
          <w:sz w:val="32"/>
          <w:szCs w:val="32"/>
          <w:highlight w:val="none"/>
          <w:shd w:val="clear" w:color="auto" w:fill="auto"/>
          <w:lang w:val="zh-TW" w:eastAsia="zh-CN" w:bidi="ar-SA"/>
        </w:rPr>
        <w:t>金额为</w:t>
      </w:r>
      <w:r>
        <w:rPr>
          <w:rFonts w:hint="eastAsia" w:ascii="仿宋_GB2312" w:hAnsi="宋体" w:eastAsia="仿宋_GB2312" w:cs="Times New Roman"/>
          <w:bCs/>
          <w:kern w:val="2"/>
          <w:sz w:val="32"/>
          <w:szCs w:val="32"/>
          <w:highlight w:val="none"/>
          <w:shd w:val="clear" w:color="auto" w:fill="auto"/>
          <w:lang w:val="en-US" w:eastAsia="zh-CN" w:bidi="ar-SA"/>
        </w:rPr>
        <w:t>26</w:t>
      </w:r>
      <w:r>
        <w:rPr>
          <w:rFonts w:hint="eastAsia" w:ascii="仿宋_GB2312" w:hAnsi="宋体" w:eastAsia="仿宋_GB2312" w:cs="Times New Roman"/>
          <w:bCs/>
          <w:kern w:val="2"/>
          <w:sz w:val="32"/>
          <w:szCs w:val="32"/>
          <w:highlight w:val="none"/>
          <w:shd w:val="clear" w:color="auto" w:fill="auto"/>
          <w:lang w:val="zh-TW" w:eastAsia="zh-CN" w:bidi="ar-SA"/>
        </w:rPr>
        <w:t>万元，投标单位投标金额应控制在</w:t>
      </w:r>
      <w:r>
        <w:rPr>
          <w:rFonts w:hint="eastAsia" w:ascii="仿宋_GB2312" w:hAnsi="宋体" w:eastAsia="仿宋_GB2312" w:cs="Times New Roman"/>
          <w:bCs/>
          <w:kern w:val="2"/>
          <w:sz w:val="32"/>
          <w:szCs w:val="32"/>
          <w:highlight w:val="none"/>
          <w:shd w:val="clear" w:color="auto" w:fill="auto"/>
          <w:lang w:val="en-US" w:eastAsia="zh-CN" w:bidi="ar-SA"/>
        </w:rPr>
        <w:t>26</w:t>
      </w:r>
      <w:r>
        <w:rPr>
          <w:rFonts w:hint="eastAsia" w:ascii="仿宋_GB2312" w:hAnsi="宋体" w:eastAsia="仿宋_GB2312" w:cs="Times New Roman"/>
          <w:bCs/>
          <w:kern w:val="2"/>
          <w:sz w:val="32"/>
          <w:szCs w:val="32"/>
          <w:highlight w:val="none"/>
          <w:shd w:val="clear" w:color="auto" w:fill="auto"/>
          <w:lang w:val="zh-TW" w:eastAsia="zh-CN" w:bidi="ar-SA"/>
        </w:rPr>
        <w:t>万元（含）以内，</w:t>
      </w:r>
      <w:r>
        <w:rPr>
          <w:rFonts w:hint="eastAsia" w:ascii="仿宋_GB2312" w:hAnsi="宋体" w:eastAsia="仿宋_GB2312" w:cs="Times New Roman"/>
          <w:bCs/>
          <w:kern w:val="2"/>
          <w:sz w:val="32"/>
          <w:szCs w:val="32"/>
          <w:highlight w:val="none"/>
          <w:lang w:val="zh-TW" w:eastAsia="zh-CN" w:bidi="ar-SA"/>
        </w:rPr>
        <w:t>超</w:t>
      </w:r>
      <w:r>
        <w:rPr>
          <w:rFonts w:hint="eastAsia" w:ascii="仿宋_GB2312" w:hAnsi="宋体" w:eastAsia="仿宋_GB2312" w:cs="Times New Roman"/>
          <w:bCs/>
          <w:kern w:val="2"/>
          <w:sz w:val="32"/>
          <w:szCs w:val="32"/>
          <w:lang w:val="zh-TW" w:eastAsia="zh-CN" w:bidi="ar-SA"/>
        </w:rPr>
        <w:t>出预算视为无效投标。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仿宋"/>
          <w:kern w:val="2"/>
          <w:sz w:val="32"/>
          <w:szCs w:val="32"/>
          <w:lang w:val="zh-TW"/>
        </w:rPr>
      </w:pPr>
      <w:r>
        <w:rPr>
          <w:rFonts w:hint="eastAsia" w:ascii="黑体" w:hAnsi="黑体" w:eastAsia="黑体" w:cs="仿宋"/>
          <w:kern w:val="2"/>
          <w:sz w:val="32"/>
          <w:szCs w:val="32"/>
          <w:lang w:val="zh-TW"/>
        </w:rPr>
        <w:t>四、采购方式：</w:t>
      </w:r>
      <w:r>
        <w:rPr>
          <w:rFonts w:hint="eastAsia" w:ascii="仿宋_GB2312" w:hAnsi="宋体" w:eastAsia="仿宋_GB2312" w:cs="Times New Roman"/>
          <w:bCs/>
          <w:kern w:val="2"/>
          <w:sz w:val="32"/>
          <w:szCs w:val="32"/>
          <w:lang w:val="zh-TW" w:eastAsia="zh-CN" w:bidi="ar-SA"/>
        </w:rPr>
        <w:t>公开招投标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黑体" w:eastAsia="仿宋_GB2312"/>
          <w:sz w:val="32"/>
          <w:szCs w:val="32"/>
          <w:lang w:eastAsia="zh-CN"/>
        </w:rPr>
      </w:pPr>
      <w:r>
        <w:rPr>
          <w:rFonts w:hint="eastAsia" w:ascii="黑体" w:hAnsi="黑体" w:eastAsia="黑体" w:cs="仿宋"/>
          <w:sz w:val="32"/>
          <w:szCs w:val="32"/>
          <w:lang w:val="zh-TW" w:eastAsia="zh-TW"/>
        </w:rPr>
        <w:t>五、</w:t>
      </w:r>
      <w:r>
        <w:rPr>
          <w:rFonts w:ascii="黑体" w:hAnsi="黑体" w:eastAsia="黑体" w:cs="仿宋"/>
          <w:sz w:val="32"/>
          <w:szCs w:val="32"/>
          <w:lang w:val="zh-TW" w:eastAsia="zh-TW"/>
        </w:rPr>
        <w:t>公告期限：</w:t>
      </w:r>
      <w:r>
        <w:rPr>
          <w:rFonts w:ascii="仿宋_GB2312" w:hAnsi="黑体" w:eastAsia="仿宋_GB2312"/>
          <w:sz w:val="32"/>
          <w:szCs w:val="32"/>
        </w:rPr>
        <w:t>20</w:t>
      </w:r>
      <w:r>
        <w:rPr>
          <w:rFonts w:hint="eastAsia" w:ascii="仿宋_GB2312" w:hAnsi="黑体" w:eastAsia="仿宋_GB2312"/>
          <w:sz w:val="32"/>
          <w:szCs w:val="32"/>
          <w:lang w:val="en-US" w:eastAsia="zh-CN"/>
        </w:rPr>
        <w:t>22</w:t>
      </w:r>
      <w:r>
        <w:rPr>
          <w:rFonts w:hint="eastAsia" w:ascii="仿宋_GB2312" w:hAnsi="黑体" w:eastAsia="仿宋_GB2312"/>
          <w:sz w:val="32"/>
          <w:szCs w:val="32"/>
        </w:rPr>
        <w:t>年</w:t>
      </w:r>
      <w:r>
        <w:rPr>
          <w:rFonts w:hint="eastAsia" w:ascii="仿宋_GB2312" w:hAnsi="黑体" w:eastAsia="仿宋_GB2312"/>
          <w:sz w:val="32"/>
          <w:szCs w:val="32"/>
          <w:u w:val="single"/>
          <w:lang w:val="en-US" w:eastAsia="zh-CN"/>
        </w:rPr>
        <w:t xml:space="preserve"> 8 </w:t>
      </w:r>
      <w:r>
        <w:rPr>
          <w:rFonts w:hint="eastAsia" w:ascii="仿宋_GB2312" w:hAnsi="黑体" w:eastAsia="仿宋_GB2312"/>
          <w:sz w:val="32"/>
          <w:szCs w:val="32"/>
        </w:rPr>
        <w:t>月</w:t>
      </w:r>
      <w:r>
        <w:rPr>
          <w:rFonts w:hint="eastAsia" w:ascii="仿宋_GB2312" w:hAnsi="黑体" w:eastAsia="仿宋_GB2312"/>
          <w:sz w:val="32"/>
          <w:szCs w:val="32"/>
          <w:u w:val="single"/>
          <w:lang w:val="en-US" w:eastAsia="zh-CN"/>
        </w:rPr>
        <w:t xml:space="preserve"> 25 </w:t>
      </w:r>
      <w:r>
        <w:rPr>
          <w:rFonts w:hint="eastAsia" w:ascii="仿宋_GB2312" w:hAnsi="黑体" w:eastAsia="仿宋_GB2312"/>
          <w:sz w:val="32"/>
          <w:szCs w:val="32"/>
        </w:rPr>
        <w:t>日</w:t>
      </w:r>
      <w:r>
        <w:rPr>
          <w:rFonts w:hint="eastAsia" w:ascii="仿宋_GB2312" w:hAnsi="黑体" w:eastAsia="仿宋_GB2312"/>
          <w:sz w:val="32"/>
          <w:szCs w:val="32"/>
          <w:lang w:eastAsia="zh-CN"/>
        </w:rPr>
        <w:t>至</w:t>
      </w:r>
      <w:r>
        <w:rPr>
          <w:rFonts w:ascii="仿宋_GB2312" w:hAnsi="黑体" w:eastAsia="仿宋_GB2312"/>
          <w:sz w:val="32"/>
          <w:szCs w:val="32"/>
        </w:rPr>
        <w:t>20</w:t>
      </w:r>
      <w:r>
        <w:rPr>
          <w:rFonts w:hint="eastAsia" w:ascii="仿宋_GB2312" w:hAnsi="黑体" w:eastAsia="仿宋_GB2312"/>
          <w:sz w:val="32"/>
          <w:szCs w:val="32"/>
          <w:lang w:val="en-US" w:eastAsia="zh-CN"/>
        </w:rPr>
        <w:t>22</w:t>
      </w:r>
      <w:r>
        <w:rPr>
          <w:rFonts w:hint="eastAsia" w:ascii="仿宋_GB2312" w:hAnsi="黑体" w:eastAsia="仿宋_GB2312"/>
          <w:sz w:val="32"/>
          <w:szCs w:val="32"/>
        </w:rPr>
        <w:t>年</w:t>
      </w:r>
      <w:r>
        <w:rPr>
          <w:rFonts w:hint="eastAsia" w:ascii="仿宋_GB2312" w:hAnsi="黑体" w:eastAsia="仿宋_GB2312"/>
          <w:sz w:val="32"/>
          <w:szCs w:val="32"/>
          <w:u w:val="single"/>
          <w:lang w:val="en-US" w:eastAsia="zh-CN"/>
        </w:rPr>
        <w:t xml:space="preserve"> 8 </w:t>
      </w:r>
      <w:r>
        <w:rPr>
          <w:rFonts w:hint="eastAsia" w:ascii="仿宋_GB2312" w:hAnsi="黑体" w:eastAsia="仿宋_GB2312"/>
          <w:sz w:val="32"/>
          <w:szCs w:val="32"/>
        </w:rPr>
        <w:t>月</w:t>
      </w:r>
      <w:r>
        <w:rPr>
          <w:rFonts w:hint="eastAsia" w:ascii="仿宋_GB2312" w:hAnsi="黑体" w:eastAsia="仿宋_GB2312"/>
          <w:sz w:val="32"/>
          <w:szCs w:val="32"/>
          <w:u w:val="single"/>
          <w:lang w:val="en-US" w:eastAsia="zh-CN"/>
        </w:rPr>
        <w:t xml:space="preserve"> 31 </w:t>
      </w:r>
      <w:r>
        <w:rPr>
          <w:rFonts w:hint="eastAsia" w:ascii="仿宋_GB2312" w:hAnsi="黑体"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黑体" w:hAnsi="黑体" w:eastAsia="黑体" w:cs="仿宋"/>
          <w:kern w:val="2"/>
          <w:sz w:val="32"/>
          <w:szCs w:val="32"/>
          <w:lang w:val="zh-TW"/>
        </w:rPr>
        <w:t>六、采购工作小组：</w:t>
      </w:r>
      <w:r>
        <w:rPr>
          <w:rFonts w:hint="eastAsia" w:ascii="仿宋_GB2312" w:hAnsi="宋体" w:eastAsia="仿宋_GB2312" w:cs="Times New Roman"/>
          <w:bCs/>
          <w:kern w:val="2"/>
          <w:sz w:val="32"/>
          <w:szCs w:val="32"/>
          <w:lang w:val="zh-TW" w:eastAsia="zh-CN" w:bidi="ar-SA"/>
        </w:rPr>
        <w:t>由办公室各科室、机关各工委各指定一名人员组成（项目需求单位不指定人员），负责完成项目采购工作。</w:t>
      </w:r>
    </w:p>
    <w:p>
      <w:pPr>
        <w:pStyle w:val="2"/>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仿宋"/>
          <w:kern w:val="2"/>
          <w:sz w:val="32"/>
          <w:szCs w:val="32"/>
          <w:lang w:val="zh-TW" w:eastAsia="zh-CN"/>
        </w:rPr>
        <w:t>七、验收</w:t>
      </w:r>
      <w:r>
        <w:rPr>
          <w:rFonts w:hint="eastAsia" w:ascii="黑体" w:hAnsi="黑体" w:eastAsia="黑体" w:cs="仿宋"/>
          <w:kern w:val="2"/>
          <w:sz w:val="32"/>
          <w:szCs w:val="32"/>
          <w:lang w:val="zh-TW"/>
        </w:rPr>
        <w:t>小组：</w:t>
      </w:r>
      <w:r>
        <w:rPr>
          <w:rFonts w:hint="eastAsia" w:ascii="仿宋_GB2312" w:hAnsi="仿宋_GB2312" w:eastAsia="仿宋_GB2312" w:cs="仿宋_GB2312"/>
          <w:color w:val="auto"/>
          <w:sz w:val="32"/>
          <w:szCs w:val="32"/>
          <w:lang w:eastAsia="zh-CN"/>
        </w:rPr>
        <w:t>验收小组由</w:t>
      </w:r>
      <w:r>
        <w:rPr>
          <w:rFonts w:hint="eastAsia" w:ascii="仿宋_GB2312" w:hAnsi="仿宋_GB2312" w:eastAsia="仿宋_GB2312" w:cs="仿宋_GB2312"/>
          <w:color w:val="auto"/>
          <w:sz w:val="32"/>
          <w:szCs w:val="32"/>
        </w:rPr>
        <w:t>采购项目合同履行涉及的业务部门派人参与，</w:t>
      </w:r>
      <w:r>
        <w:rPr>
          <w:rFonts w:hint="eastAsia" w:ascii="仿宋_GB2312" w:hAnsi="仿宋_GB2312" w:eastAsia="仿宋_GB2312" w:cs="仿宋_GB2312"/>
          <w:color w:val="auto"/>
          <w:sz w:val="32"/>
          <w:szCs w:val="32"/>
          <w:lang w:eastAsia="zh-CN"/>
        </w:rPr>
        <w:t>成员人数为</w:t>
      </w:r>
      <w:r>
        <w:rPr>
          <w:rFonts w:hint="eastAsia" w:ascii="仿宋_GB2312" w:hAnsi="仿宋_GB2312" w:eastAsia="仿宋_GB2312" w:cs="仿宋_GB2312"/>
          <w:color w:val="auto"/>
          <w:sz w:val="32"/>
          <w:szCs w:val="32"/>
          <w:lang w:val="en-US" w:eastAsia="zh-CN"/>
        </w:rPr>
        <w:t>3人以上单数（</w:t>
      </w:r>
      <w:r>
        <w:rPr>
          <w:rFonts w:hint="eastAsia" w:ascii="仿宋_GB2312" w:hAnsi="仿宋_GB2312" w:eastAsia="仿宋_GB2312" w:cs="仿宋_GB2312"/>
          <w:color w:val="auto"/>
          <w:sz w:val="32"/>
          <w:szCs w:val="32"/>
        </w:rPr>
        <w:t>验收小组中本项目采购小组成员的比例不得超</w:t>
      </w:r>
      <w:r>
        <w:rPr>
          <w:rFonts w:hint="eastAsia" w:ascii="仿宋_GB2312" w:hAnsi="仿宋_GB2312" w:eastAsia="仿宋_GB2312" w:cs="仿宋_GB2312"/>
          <w:color w:val="auto"/>
          <w:sz w:val="32"/>
          <w:szCs w:val="32"/>
          <w:lang w:eastAsia="zh-CN"/>
        </w:rPr>
        <w:t>过</w:t>
      </w:r>
      <w:r>
        <w:rPr>
          <w:rFonts w:hint="eastAsia" w:ascii="仿宋_GB2312" w:hAnsi="仿宋_GB2312" w:eastAsia="仿宋_GB2312" w:cs="仿宋_GB2312"/>
          <w:color w:val="auto"/>
          <w:sz w:val="32"/>
          <w:szCs w:val="32"/>
        </w:rPr>
        <w:t>三分之二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。验收小组实施对</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项目的验收，并且出具验收报告对项目实施结果进行评价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仿宋"/>
          <w:kern w:val="2"/>
          <w:sz w:val="32"/>
          <w:szCs w:val="32"/>
          <w:shd w:val="clear" w:color="auto" w:fill="auto"/>
          <w:lang w:val="zh-TW" w:eastAsia="zh-CN"/>
        </w:rPr>
      </w:pPr>
      <w:r>
        <w:rPr>
          <w:rFonts w:hint="eastAsia" w:ascii="黑体" w:hAnsi="黑体" w:eastAsia="黑体" w:cs="仿宋"/>
          <w:kern w:val="2"/>
          <w:sz w:val="32"/>
          <w:szCs w:val="32"/>
          <w:shd w:val="clear" w:color="auto" w:fill="auto"/>
          <w:lang w:val="zh-TW" w:eastAsia="zh-CN"/>
        </w:rPr>
        <w:t>八</w:t>
      </w:r>
      <w:r>
        <w:rPr>
          <w:rFonts w:hint="eastAsia" w:ascii="黑体" w:hAnsi="黑体" w:eastAsia="黑体" w:cs="仿宋"/>
          <w:kern w:val="2"/>
          <w:sz w:val="32"/>
          <w:szCs w:val="32"/>
          <w:shd w:val="clear" w:color="auto" w:fill="auto"/>
          <w:lang w:val="zh-TW"/>
        </w:rPr>
        <w:t>、</w:t>
      </w:r>
      <w:r>
        <w:rPr>
          <w:rFonts w:hint="eastAsia" w:ascii="黑体" w:hAnsi="黑体" w:eastAsia="黑体" w:cs="仿宋"/>
          <w:kern w:val="2"/>
          <w:sz w:val="32"/>
          <w:szCs w:val="32"/>
          <w:shd w:val="clear" w:color="auto" w:fill="auto"/>
          <w:lang w:val="zh-TW" w:eastAsia="zh-CN"/>
        </w:rPr>
        <w:t>采购项目说明和内容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Cs/>
          <w:kern w:val="2"/>
          <w:sz w:val="32"/>
          <w:szCs w:val="32"/>
          <w:shd w:val="clear" w:color="auto" w:fill="auto"/>
          <w:lang w:val="zh-TW" w:eastAsia="zh-CN" w:bidi="ar-SA"/>
        </w:rPr>
      </w:pPr>
      <w:r>
        <w:rPr>
          <w:rFonts w:hint="eastAsia" w:ascii="楷体_GB2312" w:hAnsi="楷体_GB2312" w:eastAsia="楷体_GB2312" w:cs="楷体_GB2312"/>
          <w:bCs/>
          <w:kern w:val="2"/>
          <w:sz w:val="32"/>
          <w:szCs w:val="32"/>
          <w:shd w:val="clear" w:color="auto" w:fill="auto"/>
          <w:lang w:val="zh-TW" w:eastAsia="zh-CN" w:bidi="ar-SA"/>
        </w:rPr>
        <w:t>（一）项目简介</w:t>
      </w:r>
    </w:p>
    <w:p>
      <w:pPr>
        <w:keepNext w:val="0"/>
        <w:keepLines w:val="0"/>
        <w:pageBreakBefore w:val="0"/>
        <w:kinsoku/>
        <w:overflowPunct/>
        <w:topLinePunct w:val="0"/>
        <w:autoSpaceDE w:val="0"/>
        <w:bidi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公共服务平台是公共服务的重要载体和实现途径，对促进产业发展和发展环境改善具有重要作用。加快产业公共服务平台建设有利于逐步形成社会化、市场化、专业化的公共服务体系和长效机制，对于促进资源优化配置和专业化分工协作,推进共性关键技术的开发、转移与应用具有重要作用，同时，对于推动战略性新兴产业发展，完善产业服务体系，促进自主创新和转型升级也具有重要意义。《深圳市坪山区科技创新"十四五"规划》提出要创新要素的密度和能级大幅提升的发展目标。其中特别指出，“科研院所、企业研发中心、新型研发机构等重大创新平台载体加快集聚，科技成果转化、技术转移中心、检验检测等科技服务平台不断完善，产业创新能力实现大幅跃升，市级以上科技创新平台 170 家，全社会研发投入占 GDP 比重大于 6-6.5%。”在此背景下，拟对坪山区政府引进的产业公共服务平台进行调研，开展绩效评估和问题分析，研究改善平台服务举措，推动进一步优化平台扶持政策，更好发挥平台支撑产业发展作用。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楷体_GB2312" w:hAnsi="楷体_GB2312" w:eastAsia="楷体_GB2312" w:cs="楷体_GB2312"/>
          <w:bCs/>
          <w:kern w:val="2"/>
          <w:sz w:val="32"/>
          <w:szCs w:val="32"/>
          <w:highlight w:val="none"/>
          <w:shd w:val="clear" w:color="auto" w:fill="auto"/>
          <w:lang w:val="zh-TW" w:eastAsia="zh-CN" w:bidi="ar-SA"/>
        </w:rPr>
      </w:pPr>
      <w:r>
        <w:rPr>
          <w:rFonts w:hint="eastAsia" w:ascii="楷体_GB2312" w:hAnsi="楷体_GB2312" w:eastAsia="楷体_GB2312" w:cs="楷体_GB2312"/>
          <w:bCs/>
          <w:kern w:val="2"/>
          <w:sz w:val="32"/>
          <w:szCs w:val="32"/>
          <w:highlight w:val="none"/>
          <w:shd w:val="clear" w:color="auto" w:fill="auto"/>
          <w:lang w:val="zh-TW" w:eastAsia="zh-CN" w:bidi="ar-SA"/>
        </w:rPr>
        <w:t>（二）采购内容</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第三方机构需分析梳理坪山区几大重点行业对产业公共服务的需求；区政府现有资助平台建设和服务运营情况、存在问题和面临的挑战；横向对比全国其他领先地区产业公共服务平台绩效评估方法和经验借鉴；分析当前坪山区公共技术服务平台所存在短板，并针对性研提系统性举措，最终以报告形式提出结论性意见和建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Cs/>
          <w:kern w:val="2"/>
          <w:sz w:val="32"/>
          <w:szCs w:val="32"/>
          <w:lang w:val="zh-TW" w:eastAsia="zh-CN" w:bidi="ar-SA"/>
        </w:rPr>
      </w:pPr>
      <w:r>
        <w:rPr>
          <w:rFonts w:hint="eastAsia" w:ascii="楷体_GB2312" w:hAnsi="楷体_GB2312" w:eastAsia="楷体_GB2312" w:cs="楷体_GB2312"/>
          <w:bCs/>
          <w:kern w:val="2"/>
          <w:sz w:val="32"/>
          <w:szCs w:val="32"/>
          <w:lang w:val="zh-TW" w:eastAsia="zh-CN" w:bidi="ar-SA"/>
        </w:rPr>
        <w:t>（三）项目需求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1.评价工作时限为自合同签订起至采购方出具验收报告为止，项目需出具纸质版报告。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2.若在评价工作过程中有疑问，及时与区人大常委会办公室相关业务科室人员沟通交流。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3.中标人应独立、公正地完成评价工作，评价工作方案一经确定，项目负责人和其团队评价人员不得随意调整。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4.形成的报告需符合有关法律法规、市财政部门和其他相关部门标准规范的要求；保证出具的报告严谨、高水平、有深度，形成的评价结果及建议可运用。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zh-TW" w:eastAsia="zh-CN" w:bidi="ar-SA"/>
        </w:rPr>
      </w:pPr>
      <w:r>
        <w:rPr>
          <w:rFonts w:hint="eastAsia" w:ascii="仿宋_GB2312" w:hAnsi="仿宋_GB2312" w:eastAsia="仿宋_GB2312" w:cs="仿宋_GB2312"/>
          <w:bCs/>
          <w:kern w:val="2"/>
          <w:sz w:val="32"/>
          <w:szCs w:val="32"/>
          <w:lang w:val="en-US" w:eastAsia="zh-CN" w:bidi="ar-SA"/>
        </w:rPr>
        <w:t>5.</w:t>
      </w:r>
      <w:r>
        <w:rPr>
          <w:rFonts w:hint="eastAsia" w:ascii="仿宋_GB2312" w:hAnsi="仿宋_GB2312" w:eastAsia="仿宋_GB2312" w:cs="仿宋_GB2312"/>
          <w:bCs/>
          <w:kern w:val="2"/>
          <w:sz w:val="32"/>
          <w:szCs w:val="32"/>
          <w:lang w:val="zh-TW" w:eastAsia="zh-CN" w:bidi="ar-SA"/>
        </w:rPr>
        <w:t>中标单位不得将项目转包、分包。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zh-TW" w:eastAsia="zh-CN" w:bidi="ar-SA"/>
        </w:rPr>
      </w:pPr>
      <w:r>
        <w:rPr>
          <w:rFonts w:hint="eastAsia" w:ascii="仿宋_GB2312" w:hAnsi="仿宋_GB2312" w:eastAsia="仿宋_GB2312" w:cs="仿宋_GB2312"/>
          <w:bCs/>
          <w:kern w:val="2"/>
          <w:sz w:val="32"/>
          <w:szCs w:val="32"/>
          <w:lang w:val="en-US" w:eastAsia="zh-CN" w:bidi="ar-SA"/>
        </w:rPr>
        <w:t>6.</w:t>
      </w:r>
      <w:r>
        <w:rPr>
          <w:rFonts w:hint="eastAsia" w:ascii="仿宋_GB2312" w:hAnsi="仿宋_GB2312" w:eastAsia="仿宋_GB2312" w:cs="仿宋_GB2312"/>
          <w:bCs/>
          <w:kern w:val="2"/>
          <w:sz w:val="32"/>
          <w:szCs w:val="32"/>
          <w:lang w:val="zh-TW" w:eastAsia="zh-CN" w:bidi="ar-SA"/>
        </w:rPr>
        <w:t>保密要求：中标供应商应当对其在项目开展过程中所知悉的国家秘密、商业秘密和技术秘密负有保密责任，建立并实施相应的保密措施，具体保密要求如下：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zh-TW" w:eastAsia="zh-CN" w:bidi="ar-SA"/>
        </w:rPr>
      </w:pPr>
      <w:r>
        <w:rPr>
          <w:rFonts w:hint="eastAsia" w:ascii="仿宋_GB2312" w:hAnsi="仿宋_GB2312" w:eastAsia="仿宋_GB2312" w:cs="仿宋_GB2312"/>
          <w:bCs/>
          <w:kern w:val="2"/>
          <w:sz w:val="32"/>
          <w:szCs w:val="32"/>
          <w:lang w:val="zh-TW" w:eastAsia="zh-CN" w:bidi="ar-SA"/>
        </w:rPr>
        <w:t>（</w:t>
      </w:r>
      <w:r>
        <w:rPr>
          <w:rFonts w:hint="eastAsia" w:ascii="仿宋_GB2312" w:hAnsi="仿宋_GB2312" w:eastAsia="仿宋_GB2312" w:cs="仿宋_GB2312"/>
          <w:bCs/>
          <w:kern w:val="2"/>
          <w:sz w:val="32"/>
          <w:szCs w:val="32"/>
          <w:lang w:val="en-US" w:eastAsia="zh-CN" w:bidi="ar-SA"/>
        </w:rPr>
        <w:t>1</w:t>
      </w:r>
      <w:r>
        <w:rPr>
          <w:rFonts w:hint="eastAsia" w:ascii="仿宋_GB2312" w:hAnsi="仿宋_GB2312" w:eastAsia="仿宋_GB2312" w:cs="仿宋_GB2312"/>
          <w:bCs/>
          <w:kern w:val="2"/>
          <w:sz w:val="32"/>
          <w:szCs w:val="32"/>
          <w:lang w:val="zh-TW" w:eastAsia="zh-CN" w:bidi="ar-SA"/>
        </w:rPr>
        <w:t>）中标供应商不得利用所获取、掌握的采购方及其他政府部门的任何保密内容从事采购方及其政府部门授权工作以外的任何事情，不得披露、允许第三方使用；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zh-TW" w:eastAsia="zh-CN" w:bidi="ar-SA"/>
        </w:rPr>
      </w:pPr>
      <w:r>
        <w:rPr>
          <w:rFonts w:hint="eastAsia" w:ascii="仿宋_GB2312" w:hAnsi="仿宋_GB2312" w:eastAsia="仿宋_GB2312" w:cs="仿宋_GB2312"/>
          <w:bCs/>
          <w:kern w:val="2"/>
          <w:sz w:val="32"/>
          <w:szCs w:val="32"/>
          <w:lang w:val="zh-TW" w:eastAsia="zh-CN" w:bidi="ar-SA"/>
        </w:rPr>
        <w:t>（</w:t>
      </w:r>
      <w:r>
        <w:rPr>
          <w:rFonts w:hint="eastAsia" w:ascii="仿宋_GB2312" w:hAnsi="仿宋_GB2312" w:eastAsia="仿宋_GB2312" w:cs="仿宋_GB2312"/>
          <w:bCs/>
          <w:kern w:val="2"/>
          <w:sz w:val="32"/>
          <w:szCs w:val="32"/>
          <w:lang w:val="en-US" w:eastAsia="zh-CN" w:bidi="ar-SA"/>
        </w:rPr>
        <w:t>2</w:t>
      </w:r>
      <w:r>
        <w:rPr>
          <w:rFonts w:hint="eastAsia" w:ascii="仿宋_GB2312" w:hAnsi="仿宋_GB2312" w:eastAsia="仿宋_GB2312" w:cs="仿宋_GB2312"/>
          <w:bCs/>
          <w:kern w:val="2"/>
          <w:sz w:val="32"/>
          <w:szCs w:val="32"/>
          <w:lang w:val="zh-TW" w:eastAsia="zh-CN" w:bidi="ar-SA"/>
        </w:rPr>
        <w:t>）中标供应商按照采购方要求完成项目后，须立即将项目成果提交采购方存档，未经采购方许可，不得向第三方披露；</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kern w:val="2"/>
          <w:sz w:val="32"/>
          <w:szCs w:val="32"/>
          <w:lang w:val="zh-TW" w:eastAsia="zh-CN" w:bidi="ar-SA"/>
        </w:rPr>
      </w:pPr>
      <w:r>
        <w:rPr>
          <w:rFonts w:hint="eastAsia" w:ascii="仿宋_GB2312" w:hAnsi="仿宋_GB2312" w:eastAsia="仿宋_GB2312" w:cs="仿宋_GB2312"/>
          <w:bCs/>
          <w:kern w:val="2"/>
          <w:sz w:val="32"/>
          <w:szCs w:val="32"/>
          <w:lang w:val="zh-TW" w:eastAsia="zh-CN" w:bidi="ar-SA"/>
        </w:rPr>
        <w:t>（</w:t>
      </w:r>
      <w:r>
        <w:rPr>
          <w:rFonts w:hint="eastAsia" w:ascii="仿宋_GB2312" w:hAnsi="仿宋_GB2312" w:eastAsia="仿宋_GB2312" w:cs="仿宋_GB2312"/>
          <w:bCs/>
          <w:kern w:val="2"/>
          <w:sz w:val="32"/>
          <w:szCs w:val="32"/>
          <w:lang w:val="en-US" w:eastAsia="zh-CN" w:bidi="ar-SA"/>
        </w:rPr>
        <w:t>3</w:t>
      </w:r>
      <w:r>
        <w:rPr>
          <w:rFonts w:hint="eastAsia" w:ascii="仿宋_GB2312" w:hAnsi="仿宋_GB2312" w:eastAsia="仿宋_GB2312" w:cs="仿宋_GB2312"/>
          <w:bCs/>
          <w:kern w:val="2"/>
          <w:sz w:val="32"/>
          <w:szCs w:val="32"/>
          <w:lang w:val="zh-TW" w:eastAsia="zh-CN" w:bidi="ar-SA"/>
        </w:rPr>
        <w:t>）中标供应商应建立相应的保密制度，明确项目开展过程中各环节的保密性要求，确保相关资料和信息的保密性。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zh-TW" w:eastAsia="zh-CN" w:bidi="ar-SA"/>
        </w:rPr>
        <w:t>若项目执行过程中出现泄密或中标供应商未按项目保密要求执行工作，一经发现则撤销中标资格，即刻中止项目服务，并按违约条款处理后续合同工作。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仿宋"/>
          <w:kern w:val="2"/>
          <w:sz w:val="32"/>
          <w:szCs w:val="32"/>
          <w:lang w:val="zh-TW" w:eastAsia="zh-CN"/>
        </w:rPr>
      </w:pPr>
      <w:r>
        <w:rPr>
          <w:rFonts w:hint="eastAsia" w:ascii="黑体" w:hAnsi="黑体" w:eastAsia="黑体" w:cs="仿宋"/>
          <w:kern w:val="2"/>
          <w:sz w:val="32"/>
          <w:szCs w:val="32"/>
          <w:lang w:val="zh-TW" w:eastAsia="zh-CN"/>
        </w:rPr>
        <w:t>九、遴选办法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highlight w:val="none"/>
          <w:lang w:val="zh-TW" w:eastAsia="zh-CN" w:bidi="ar-SA"/>
        </w:rPr>
        <w:t>本项目采用综合评分的方式，具体投标人资格要求及评标方</w:t>
      </w:r>
      <w:r>
        <w:rPr>
          <w:rFonts w:hint="eastAsia" w:ascii="仿宋_GB2312" w:hAnsi="宋体" w:eastAsia="仿宋_GB2312" w:cs="Times New Roman"/>
          <w:bCs/>
          <w:kern w:val="2"/>
          <w:sz w:val="32"/>
          <w:szCs w:val="32"/>
          <w:lang w:val="zh-TW" w:eastAsia="zh-CN" w:bidi="ar-SA"/>
        </w:rPr>
        <w:t>法如下：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Cs/>
          <w:kern w:val="2"/>
          <w:sz w:val="32"/>
          <w:szCs w:val="32"/>
          <w:lang w:val="zh-TW" w:eastAsia="zh-CN" w:bidi="ar-SA"/>
        </w:rPr>
      </w:pPr>
      <w:r>
        <w:rPr>
          <w:rFonts w:hint="eastAsia" w:ascii="楷体_GB2312" w:hAnsi="楷体_GB2312" w:eastAsia="楷体_GB2312" w:cs="楷体_GB2312"/>
          <w:bCs/>
          <w:kern w:val="2"/>
          <w:sz w:val="32"/>
          <w:szCs w:val="32"/>
          <w:lang w:val="zh-TW" w:eastAsia="zh-CN" w:bidi="ar-SA"/>
        </w:rPr>
        <w:t>（一）投标人资格要求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lang w:val="zh-TW" w:eastAsia="zh-CN" w:bidi="ar-SA"/>
        </w:rPr>
        <w:t>1、本项目不接受联合体投标，不接受分包转包；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highlight w:val="none"/>
          <w:lang w:val="zh-TW" w:eastAsia="zh-CN" w:bidi="ar-SA"/>
        </w:rPr>
      </w:pPr>
      <w:r>
        <w:rPr>
          <w:rFonts w:hint="eastAsia" w:ascii="仿宋_GB2312" w:hAnsi="宋体" w:eastAsia="仿宋_GB2312" w:cs="Times New Roman"/>
          <w:bCs/>
          <w:kern w:val="2"/>
          <w:sz w:val="32"/>
          <w:szCs w:val="32"/>
          <w:highlight w:val="none"/>
          <w:lang w:val="en-US" w:eastAsia="zh-CN" w:bidi="ar-SA"/>
        </w:rPr>
        <w:t>2、</w:t>
      </w:r>
      <w:r>
        <w:rPr>
          <w:rFonts w:hint="eastAsia" w:ascii="仿宋_GB2312" w:hAnsi="宋体" w:eastAsia="仿宋_GB2312" w:cs="Times New Roman"/>
          <w:bCs/>
          <w:kern w:val="2"/>
          <w:sz w:val="32"/>
          <w:szCs w:val="32"/>
          <w:highlight w:val="none"/>
          <w:lang w:val="zh-TW" w:eastAsia="zh-CN" w:bidi="ar-SA"/>
        </w:rPr>
        <w:t>投标人经营范围必须包含本项目采购的货物内容；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lang w:val="en-US" w:eastAsia="zh-CN" w:bidi="ar-SA"/>
        </w:rPr>
        <w:t>3</w:t>
      </w:r>
      <w:r>
        <w:rPr>
          <w:rFonts w:hint="eastAsia" w:ascii="仿宋_GB2312" w:hAnsi="宋体" w:eastAsia="仿宋_GB2312" w:cs="Times New Roman"/>
          <w:bCs/>
          <w:kern w:val="2"/>
          <w:sz w:val="32"/>
          <w:szCs w:val="32"/>
          <w:lang w:val="zh-TW" w:eastAsia="zh-CN" w:bidi="ar-SA"/>
        </w:rPr>
        <w:t>、投标人</w:t>
      </w:r>
      <w:r>
        <w:rPr>
          <w:rFonts w:hint="eastAsia" w:ascii="仿宋_GB2312" w:hAnsi="宋体" w:eastAsia="仿宋_GB2312"/>
          <w:bCs/>
          <w:sz w:val="32"/>
          <w:szCs w:val="32"/>
        </w:rPr>
        <w:t>必须是</w:t>
      </w:r>
      <w:r>
        <w:rPr>
          <w:rFonts w:hint="eastAsia" w:ascii="仿宋_GB2312" w:hAnsi="宋体" w:eastAsia="仿宋_GB2312" w:cs="Times New Roman"/>
          <w:bCs/>
          <w:kern w:val="2"/>
          <w:sz w:val="32"/>
          <w:szCs w:val="32"/>
          <w:lang w:val="zh-TW" w:eastAsia="zh-CN" w:bidi="ar-SA"/>
        </w:rPr>
        <w:t>在中国境内注册的独立法人或其他组织，</w:t>
      </w:r>
      <w:r>
        <w:rPr>
          <w:rFonts w:hint="eastAsia" w:ascii="仿宋_GB2312" w:hAnsi="宋体" w:eastAsia="仿宋_GB2312"/>
          <w:bCs/>
          <w:sz w:val="32"/>
          <w:szCs w:val="32"/>
        </w:rPr>
        <w:t>须提供有效的注册登记证书（</w:t>
      </w:r>
      <w:r>
        <w:rPr>
          <w:rFonts w:hint="eastAsia" w:ascii="仿宋_GB2312" w:hAnsi="宋体" w:eastAsia="仿宋_GB2312" w:cs="Times New Roman"/>
          <w:bCs/>
          <w:kern w:val="2"/>
          <w:sz w:val="32"/>
          <w:szCs w:val="32"/>
          <w:lang w:val="zh-TW" w:eastAsia="zh-CN" w:bidi="ar-SA"/>
        </w:rPr>
        <w:t>营业执照、事业法人证书、社会团体法人登记证书等复印件</w:t>
      </w:r>
      <w:r>
        <w:rPr>
          <w:rFonts w:hint="eastAsia" w:ascii="仿宋_GB2312" w:hAnsi="宋体" w:eastAsia="仿宋_GB2312"/>
          <w:bCs/>
          <w:sz w:val="32"/>
          <w:szCs w:val="32"/>
        </w:rPr>
        <w:t>加盖投标人公章</w:t>
      </w:r>
      <w:r>
        <w:rPr>
          <w:rFonts w:hint="eastAsia" w:ascii="仿宋_GB2312" w:hAnsi="宋体" w:eastAsia="仿宋_GB2312" w:cs="Times New Roman"/>
          <w:bCs/>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lang w:val="en-US" w:eastAsia="zh-CN" w:bidi="ar-SA"/>
        </w:rPr>
        <w:t>4</w:t>
      </w:r>
      <w:r>
        <w:rPr>
          <w:rFonts w:hint="eastAsia" w:ascii="仿宋_GB2312" w:hAnsi="宋体" w:eastAsia="仿宋_GB2312" w:cs="Times New Roman"/>
          <w:bCs/>
          <w:kern w:val="2"/>
          <w:sz w:val="32"/>
          <w:szCs w:val="32"/>
          <w:lang w:val="zh-TW" w:eastAsia="zh-CN" w:bidi="ar-SA"/>
        </w:rPr>
        <w:t>、本项目对于一个法人多家公司进行投递资料，只承认一家供应商符合要求，超出作废；</w:t>
      </w:r>
    </w:p>
    <w:p>
      <w:pPr>
        <w:pStyle w:val="11"/>
        <w:keepNext w:val="0"/>
        <w:keepLines w:val="0"/>
        <w:pageBreakBefore w:val="0"/>
        <w:kinsoku/>
        <w:overflowPunct/>
        <w:topLinePunct w:val="0"/>
        <w:bidi w:val="0"/>
        <w:spacing w:line="560" w:lineRule="exact"/>
        <w:ind w:firstLine="640"/>
        <w:textAlignment w:val="auto"/>
        <w:rPr>
          <w:rFonts w:hint="eastAsia" w:eastAsia="仿宋_GB2312"/>
          <w:lang w:val="zh-TW" w:eastAsia="zh-CN"/>
        </w:rPr>
      </w:pPr>
      <w:r>
        <w:rPr>
          <w:rFonts w:hint="eastAsia" w:ascii="仿宋_GB2312" w:hAnsi="宋体" w:eastAsia="仿宋_GB2312"/>
          <w:bCs/>
          <w:sz w:val="32"/>
          <w:szCs w:val="32"/>
          <w:lang w:val="en-US" w:eastAsia="zh-CN"/>
        </w:rPr>
        <w:t>5、</w:t>
      </w:r>
      <w:r>
        <w:rPr>
          <w:rFonts w:hint="eastAsia" w:ascii="仿宋_GB2312" w:hAnsi="宋体" w:eastAsia="仿宋_GB2312"/>
          <w:bCs/>
          <w:sz w:val="32"/>
          <w:szCs w:val="32"/>
        </w:rPr>
        <w:t>参与本项目政府采购活动时不存在被有关部门禁止参与政府采购活动且在有效期内的情况</w:t>
      </w:r>
      <w:r>
        <w:rPr>
          <w:rFonts w:hint="eastAsia" w:ascii="仿宋_GB2312" w:hAnsi="宋体"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Cs/>
          <w:kern w:val="2"/>
          <w:sz w:val="32"/>
          <w:szCs w:val="32"/>
          <w:highlight w:val="none"/>
          <w:lang w:val="zh-TW" w:eastAsia="zh-CN" w:bidi="ar-SA"/>
        </w:rPr>
      </w:pPr>
      <w:r>
        <w:rPr>
          <w:rFonts w:hint="eastAsia" w:ascii="楷体_GB2312" w:hAnsi="楷体_GB2312" w:eastAsia="楷体_GB2312" w:cs="楷体_GB2312"/>
          <w:bCs/>
          <w:kern w:val="2"/>
          <w:sz w:val="32"/>
          <w:szCs w:val="32"/>
          <w:highlight w:val="none"/>
          <w:lang w:val="zh-TW" w:eastAsia="zh-CN" w:bidi="ar-SA"/>
        </w:rPr>
        <w:t>（二）评标方法</w:t>
      </w:r>
    </w:p>
    <w:p>
      <w:pPr>
        <w:keepNext w:val="0"/>
        <w:keepLines w:val="0"/>
        <w:pageBreakBefore w:val="0"/>
        <w:widowControl w:val="0"/>
        <w:kinsoku/>
        <w:overflowPunct/>
        <w:topLinePunct w:val="0"/>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lang w:val="zh-TW" w:eastAsia="zh-CN" w:bidi="ar-SA"/>
        </w:rPr>
        <w:t>本项目采用的评标方法是</w:t>
      </w:r>
      <w:r>
        <w:rPr>
          <w:rFonts w:hint="eastAsia" w:ascii="仿宋_GB2312" w:hAnsi="宋体" w:eastAsia="仿宋_GB2312" w:cs="Times New Roman"/>
          <w:b w:val="0"/>
          <w:bCs/>
          <w:kern w:val="2"/>
          <w:sz w:val="32"/>
          <w:szCs w:val="32"/>
          <w:lang w:val="zh-TW" w:eastAsia="zh-CN" w:bidi="ar-SA"/>
        </w:rPr>
        <w:t>综合评分法</w:t>
      </w:r>
      <w:r>
        <w:rPr>
          <w:rFonts w:hint="eastAsia" w:ascii="仿宋_GB2312" w:hAnsi="宋体" w:eastAsia="仿宋_GB2312" w:cs="Times New Roman"/>
          <w:bCs/>
          <w:kern w:val="2"/>
          <w:sz w:val="32"/>
          <w:szCs w:val="32"/>
          <w:lang w:val="zh-TW" w:eastAsia="zh-CN" w:bidi="ar-SA"/>
        </w:rPr>
        <w:t>。即在最大限度地满足招标文件实质性要求前提下，按照招标文件中规定的各项因素进行量化打分，以评</w:t>
      </w:r>
      <w:r>
        <w:rPr>
          <w:rFonts w:hint="eastAsia" w:ascii="仿宋_GB2312" w:hAnsi="宋体" w:eastAsia="仿宋_GB2312" w:cs="Times New Roman"/>
          <w:b w:val="0"/>
          <w:bCs/>
          <w:kern w:val="2"/>
          <w:sz w:val="32"/>
          <w:szCs w:val="32"/>
          <w:lang w:val="zh-TW" w:eastAsia="zh-CN" w:bidi="ar-SA"/>
        </w:rPr>
        <w:t>标总得分最高的投标供应商作为中标候选供应商或中标供应商</w:t>
      </w:r>
      <w:r>
        <w:rPr>
          <w:rFonts w:hint="eastAsia" w:ascii="仿宋_GB2312" w:hAnsi="宋体" w:eastAsia="仿宋_GB2312" w:cs="Times New Roman"/>
          <w:bCs/>
          <w:kern w:val="2"/>
          <w:sz w:val="32"/>
          <w:szCs w:val="32"/>
          <w:lang w:val="zh-TW" w:eastAsia="zh-CN" w:bidi="ar-SA"/>
        </w:rPr>
        <w:t>的评标方法。</w:t>
      </w:r>
    </w:p>
    <w:p>
      <w:pPr>
        <w:keepNext w:val="0"/>
        <w:keepLines w:val="0"/>
        <w:pageBreakBefore w:val="0"/>
        <w:widowControl w:val="0"/>
        <w:kinsoku/>
        <w:overflowPunct/>
        <w:topLinePunct w:val="0"/>
        <w:bidi w:val="0"/>
        <w:adjustRightInd/>
        <w:snapToGrid/>
        <w:spacing w:after="0" w:line="560" w:lineRule="exact"/>
        <w:ind w:firstLine="640" w:firstLineChars="200"/>
        <w:jc w:val="both"/>
        <w:textAlignment w:val="auto"/>
        <w:rPr>
          <w:rFonts w:hint="eastAsia" w:ascii="仿宋_GB2312" w:hAnsi="宋体" w:eastAsia="仿宋_GB2312" w:cs="Times New Roman"/>
          <w:bCs/>
          <w:kern w:val="2"/>
          <w:sz w:val="32"/>
          <w:szCs w:val="32"/>
          <w:lang w:val="zh-TW" w:eastAsia="zh-CN" w:bidi="ar-SA"/>
        </w:rPr>
      </w:pPr>
      <w:r>
        <w:rPr>
          <w:rFonts w:hint="eastAsia" w:ascii="仿宋_GB2312" w:hAnsi="宋体" w:eastAsia="仿宋_GB2312" w:cs="Times New Roman"/>
          <w:bCs/>
          <w:kern w:val="2"/>
          <w:sz w:val="32"/>
          <w:szCs w:val="32"/>
          <w:lang w:val="zh-TW" w:eastAsia="zh-CN" w:bidi="ar-SA"/>
        </w:rPr>
        <w:t>有效投标供应商的数量须确保在3家或以上，未满足3家仍要继续采购的，可重新组织招标，连续两次公开招标未达到3家或以上有效供应商应标的，可由采购单位提出转为竞争性谈判或单一来源方式采购的建议，附采购工作小组出具的意见，经采购工作领导小组会议同意后可申请转为非公开招标方式采购。</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楷体_GB2312" w:hAnsi="楷体_GB2312" w:eastAsia="楷体_GB2312" w:cs="楷体_GB2312"/>
          <w:bCs/>
          <w:kern w:val="2"/>
          <w:sz w:val="32"/>
          <w:szCs w:val="32"/>
          <w:lang w:val="zh-TW" w:eastAsia="zh-CN" w:bidi="ar-SA"/>
        </w:rPr>
      </w:pPr>
      <w:r>
        <w:rPr>
          <w:rFonts w:hint="eastAsia" w:ascii="楷体_GB2312" w:hAnsi="楷体_GB2312" w:eastAsia="楷体_GB2312" w:cs="楷体_GB2312"/>
          <w:bCs/>
          <w:kern w:val="2"/>
          <w:sz w:val="32"/>
          <w:szCs w:val="32"/>
          <w:lang w:val="zh-TW" w:eastAsia="zh-CN" w:bidi="ar-SA"/>
        </w:rPr>
        <w:t>（三）投标报价要求</w:t>
      </w:r>
    </w:p>
    <w:p>
      <w:pPr>
        <w:keepNext w:val="0"/>
        <w:keepLines w:val="0"/>
        <w:pageBreakBefore w:val="0"/>
        <w:widowControl/>
        <w:suppressLineNumbers w:val="0"/>
        <w:kinsoku/>
        <w:overflowPunct/>
        <w:topLinePunct w:val="0"/>
        <w:bidi w:val="0"/>
        <w:spacing w:line="560" w:lineRule="exact"/>
        <w:ind w:firstLine="640" w:firstLineChars="200"/>
        <w:jc w:val="left"/>
        <w:textAlignment w:val="auto"/>
        <w:rPr>
          <w:rFonts w:ascii="仿宋_GB2312" w:hAnsi="仿宋" w:eastAsia="仿宋_GB2312" w:cs="仿宋"/>
          <w:sz w:val="32"/>
          <w:szCs w:val="32"/>
        </w:rPr>
      </w:pPr>
      <w:r>
        <w:rPr>
          <w:rFonts w:hint="eastAsia" w:ascii="仿宋_GB2312" w:hAnsi="宋体" w:eastAsia="仿宋_GB2312"/>
          <w:bCs/>
          <w:sz w:val="32"/>
          <w:szCs w:val="32"/>
        </w:rPr>
        <w:t>1.</w:t>
      </w:r>
      <w:r>
        <w:rPr>
          <w:rFonts w:hint="eastAsia" w:ascii="仿宋_GB2312" w:hAnsi="仿宋" w:eastAsia="仿宋_GB2312" w:cs="仿宋"/>
          <w:sz w:val="32"/>
          <w:szCs w:val="32"/>
        </w:rPr>
        <w:t>本项目投标人投标报价需以人民币为单位，项目预算金额总计不超过人民币</w:t>
      </w:r>
      <w:r>
        <w:rPr>
          <w:rFonts w:hint="eastAsia" w:ascii="仿宋_GB2312" w:hAnsi="仿宋" w:eastAsia="仿宋_GB2312" w:cs="仿宋"/>
          <w:sz w:val="32"/>
          <w:szCs w:val="32"/>
          <w:lang w:val="en-US" w:eastAsia="zh-CN"/>
        </w:rPr>
        <w:t>26万</w:t>
      </w:r>
      <w:r>
        <w:rPr>
          <w:rFonts w:hint="eastAsia" w:ascii="仿宋_GB2312" w:hAnsi="仿宋" w:eastAsia="仿宋_GB2312" w:cs="仿宋"/>
          <w:sz w:val="32"/>
          <w:szCs w:val="32"/>
        </w:rPr>
        <w:t>元整（大写：</w:t>
      </w:r>
      <w:r>
        <w:rPr>
          <w:rFonts w:hint="eastAsia" w:ascii="仿宋_GB2312" w:hAnsi="仿宋" w:eastAsia="仿宋_GB2312" w:cs="仿宋"/>
          <w:sz w:val="32"/>
          <w:szCs w:val="32"/>
          <w:lang w:val="en-US" w:eastAsia="zh-CN"/>
        </w:rPr>
        <w:t>贰拾陆</w:t>
      </w:r>
      <w:r>
        <w:rPr>
          <w:rFonts w:hint="eastAsia" w:ascii="仿宋_GB2312" w:hAnsi="仿宋" w:eastAsia="仿宋_GB2312" w:cs="仿宋"/>
          <w:sz w:val="32"/>
          <w:szCs w:val="32"/>
          <w:lang w:eastAsia="zh-CN"/>
        </w:rPr>
        <w:t>万元整</w:t>
      </w:r>
      <w:r>
        <w:rPr>
          <w:rFonts w:hint="eastAsia" w:ascii="仿宋_GB2312" w:hAnsi="仿宋" w:eastAsia="仿宋_GB2312" w:cs="仿宋"/>
          <w:sz w:val="32"/>
          <w:szCs w:val="32"/>
        </w:rPr>
        <w:t>）。</w:t>
      </w:r>
    </w:p>
    <w:p>
      <w:pPr>
        <w:pStyle w:val="11"/>
        <w:keepNext w:val="0"/>
        <w:keepLines w:val="0"/>
        <w:pageBreakBefore w:val="0"/>
        <w:kinsoku/>
        <w:wordWrap/>
        <w:overflowPunct/>
        <w:topLinePunct w:val="0"/>
        <w:autoSpaceDE/>
        <w:autoSpaceDN/>
        <w:bidi w:val="0"/>
        <w:spacing w:after="0" w:line="560" w:lineRule="exact"/>
        <w:ind w:firstLine="640"/>
        <w:textAlignment w:val="auto"/>
        <w:rPr>
          <w:rFonts w:hint="default" w:ascii="仿宋_GB2312" w:hAnsi="宋体" w:eastAsia="仿宋_GB2312"/>
          <w:bCs/>
          <w:sz w:val="32"/>
          <w:szCs w:val="32"/>
          <w:lang w:val="en-US" w:eastAsia="zh-CN"/>
        </w:rPr>
      </w:pPr>
      <w:r>
        <w:rPr>
          <w:rFonts w:hint="eastAsia" w:ascii="仿宋_GB2312" w:hAnsi="宋体" w:eastAsia="仿宋_GB2312"/>
          <w:bCs/>
          <w:sz w:val="32"/>
          <w:szCs w:val="32"/>
        </w:rPr>
        <w:t>2.本项目服务费采用包干制，应包括</w:t>
      </w:r>
      <w:r>
        <w:rPr>
          <w:rFonts w:hint="eastAsia" w:ascii="仿宋_GB2312" w:hAnsi="宋体" w:eastAsia="仿宋_GB2312"/>
          <w:bCs/>
          <w:sz w:val="32"/>
          <w:szCs w:val="32"/>
          <w:lang w:eastAsia="zh-CN"/>
        </w:rPr>
        <w:t>货物成本、</w:t>
      </w:r>
      <w:r>
        <w:rPr>
          <w:rFonts w:hint="eastAsia" w:ascii="仿宋_GB2312" w:hAnsi="宋体" w:eastAsia="仿宋_GB2312"/>
          <w:bCs/>
          <w:sz w:val="32"/>
          <w:szCs w:val="32"/>
        </w:rPr>
        <w:t>服务成本、法定税费等</w:t>
      </w:r>
      <w:r>
        <w:rPr>
          <w:rFonts w:hint="eastAsia" w:ascii="仿宋_GB2312" w:hAnsi="宋体" w:eastAsia="仿宋_GB2312"/>
          <w:bCs/>
          <w:sz w:val="32"/>
          <w:szCs w:val="32"/>
          <w:lang w:eastAsia="zh-CN"/>
        </w:rPr>
        <w:t>一切费用。</w:t>
      </w:r>
      <w:r>
        <w:rPr>
          <w:rFonts w:hint="eastAsia" w:ascii="仿宋_GB2312" w:hAnsi="宋体" w:eastAsia="仿宋_GB2312"/>
          <w:bCs/>
          <w:sz w:val="32"/>
          <w:szCs w:val="32"/>
        </w:rPr>
        <w:t>一经中标，投标报价总价作为中标单位与采购单位签订的合同金额，合同期限内不做调整。</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仿宋_GB2312" w:cs="Times New Roman"/>
          <w:bCs/>
          <w:kern w:val="2"/>
          <w:sz w:val="32"/>
          <w:szCs w:val="32"/>
          <w:lang w:val="en-US" w:eastAsia="zh-CN"/>
        </w:rPr>
      </w:pPr>
      <w:r>
        <w:rPr>
          <w:rFonts w:hint="eastAsia" w:ascii="黑体" w:hAnsi="黑体" w:eastAsia="黑体" w:cs="仿宋"/>
          <w:kern w:val="2"/>
          <w:sz w:val="32"/>
          <w:szCs w:val="32"/>
          <w:lang w:val="en-US" w:eastAsia="zh-CN"/>
        </w:rPr>
        <w:t>十、投标文件</w:t>
      </w:r>
    </w:p>
    <w:p>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仿宋_GB2312" w:cs="Times New Roman"/>
          <w:bCs/>
          <w:kern w:val="2"/>
          <w:sz w:val="32"/>
          <w:szCs w:val="32"/>
          <w:lang w:eastAsia="zh-CN"/>
        </w:rPr>
      </w:pPr>
      <w:r>
        <w:rPr>
          <w:rFonts w:hint="eastAsia" w:ascii="仿宋_GB2312" w:hAnsi="宋体" w:eastAsia="仿宋_GB2312" w:cs="Times New Roman"/>
          <w:bCs/>
          <w:kern w:val="2"/>
          <w:sz w:val="32"/>
          <w:szCs w:val="32"/>
        </w:rPr>
        <w:t>投标函（详见附件</w:t>
      </w:r>
      <w:r>
        <w:rPr>
          <w:rFonts w:hint="eastAsia" w:ascii="仿宋_GB2312" w:hAnsi="宋体" w:eastAsia="仿宋_GB2312" w:cs="Times New Roman"/>
          <w:bCs/>
          <w:kern w:val="2"/>
          <w:sz w:val="32"/>
          <w:szCs w:val="32"/>
          <w:lang w:val="en-US" w:eastAsia="zh-CN"/>
        </w:rPr>
        <w:t>2</w:t>
      </w:r>
      <w:r>
        <w:rPr>
          <w:rFonts w:hint="eastAsia" w:ascii="仿宋_GB2312" w:hAnsi="宋体" w:eastAsia="仿宋_GB2312" w:cs="Times New Roman"/>
          <w:bCs/>
          <w:kern w:val="2"/>
          <w:sz w:val="32"/>
          <w:szCs w:val="32"/>
        </w:rPr>
        <w:t>）</w:t>
      </w:r>
      <w:r>
        <w:rPr>
          <w:rFonts w:hint="eastAsia" w:ascii="仿宋_GB2312" w:hAnsi="宋体" w:eastAsia="仿宋_GB2312" w:cs="Times New Roman"/>
          <w:bCs/>
          <w:kern w:val="2"/>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宋体" w:eastAsia="仿宋_GB2312" w:cs="Times New Roman"/>
          <w:bCs/>
          <w:kern w:val="2"/>
          <w:sz w:val="32"/>
          <w:szCs w:val="32"/>
        </w:rPr>
      </w:pPr>
      <w:r>
        <w:rPr>
          <w:rFonts w:hint="eastAsia" w:ascii="仿宋_GB2312" w:hAnsi="宋体" w:eastAsia="仿宋_GB2312" w:cs="Times New Roman"/>
          <w:bCs/>
          <w:kern w:val="2"/>
          <w:sz w:val="32"/>
          <w:szCs w:val="32"/>
        </w:rPr>
        <w:t>法定代表人资格证明书及法人身份证复印件</w:t>
      </w:r>
      <w:r>
        <w:rPr>
          <w:rFonts w:hint="eastAsia" w:ascii="仿宋_GB2312" w:hAnsi="宋体" w:eastAsia="仿宋_GB2312" w:cs="Times New Roman"/>
          <w:bCs/>
          <w:kern w:val="2"/>
          <w:sz w:val="32"/>
          <w:szCs w:val="32"/>
          <w:lang w:eastAsia="zh-CN"/>
        </w:rPr>
        <w:t>（须加盖</w:t>
      </w:r>
      <w:r>
        <w:rPr>
          <w:rFonts w:hint="eastAsia" w:ascii="仿宋_GB2312" w:hAnsi="宋体" w:eastAsia="仿宋_GB2312"/>
          <w:bCs/>
          <w:sz w:val="32"/>
          <w:szCs w:val="32"/>
        </w:rPr>
        <w:t>加投标人公章</w:t>
      </w:r>
      <w:r>
        <w:rPr>
          <w:rFonts w:hint="eastAsia" w:ascii="仿宋_GB2312" w:hAnsi="宋体" w:eastAsia="仿宋_GB2312" w:cs="Times New Roman"/>
          <w:bCs/>
          <w:kern w:val="2"/>
          <w:sz w:val="32"/>
          <w:szCs w:val="32"/>
          <w:lang w:eastAsia="zh-CN"/>
        </w:rPr>
        <w:t>）</w:t>
      </w:r>
      <w:r>
        <w:rPr>
          <w:rFonts w:hint="eastAsia" w:ascii="仿宋_GB2312" w:hAnsi="宋体" w:eastAsia="仿宋_GB2312" w:cs="Times New Roman"/>
          <w:bCs/>
          <w:kern w:val="2"/>
          <w:sz w:val="32"/>
          <w:szCs w:val="32"/>
        </w:rPr>
        <w:t>，或法定代表人授权委托书及被委托人身份证复印件</w:t>
      </w:r>
      <w:r>
        <w:rPr>
          <w:rFonts w:hint="eastAsia" w:ascii="仿宋_GB2312" w:hAnsi="宋体" w:eastAsia="仿宋_GB2312" w:cs="Times New Roman"/>
          <w:bCs/>
          <w:kern w:val="2"/>
          <w:sz w:val="32"/>
          <w:szCs w:val="32"/>
          <w:lang w:eastAsia="zh-CN"/>
        </w:rPr>
        <w:t>（须加盖</w:t>
      </w:r>
      <w:r>
        <w:rPr>
          <w:rFonts w:hint="eastAsia" w:ascii="仿宋_GB2312" w:hAnsi="宋体" w:eastAsia="仿宋_GB2312" w:cs="Times New Roman"/>
          <w:bCs/>
          <w:kern w:val="2"/>
          <w:sz w:val="32"/>
          <w:szCs w:val="32"/>
        </w:rPr>
        <w:t>加投标人公章</w:t>
      </w:r>
      <w:r>
        <w:rPr>
          <w:rFonts w:hint="eastAsia" w:ascii="仿宋_GB2312" w:hAnsi="宋体" w:eastAsia="仿宋_GB2312" w:cs="Times New Roman"/>
          <w:bCs/>
          <w:kern w:val="2"/>
          <w:sz w:val="32"/>
          <w:szCs w:val="32"/>
          <w:lang w:eastAsia="zh-CN"/>
        </w:rPr>
        <w:t>）</w:t>
      </w:r>
      <w:r>
        <w:rPr>
          <w:rFonts w:hint="eastAsia" w:ascii="仿宋_GB2312" w:hAnsi="宋体" w:eastAsia="仿宋_GB2312" w:cs="Times New Roman"/>
          <w:bCs/>
          <w:kern w:val="2"/>
          <w:sz w:val="32"/>
          <w:szCs w:val="32"/>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宋体" w:eastAsia="仿宋_GB2312" w:cs="Times New Roman"/>
          <w:bCs/>
          <w:kern w:val="2"/>
          <w:sz w:val="32"/>
          <w:szCs w:val="32"/>
          <w:lang w:val="en-US" w:eastAsia="zh-CN"/>
        </w:rPr>
      </w:pPr>
      <w:r>
        <w:rPr>
          <w:rFonts w:hint="eastAsia" w:ascii="仿宋_GB2312" w:hAnsi="宋体" w:eastAsia="仿宋_GB2312" w:cs="Times New Roman"/>
          <w:bCs/>
          <w:kern w:val="2"/>
          <w:sz w:val="32"/>
          <w:szCs w:val="32"/>
        </w:rPr>
        <w:t>报价函（详见附件</w:t>
      </w:r>
      <w:r>
        <w:rPr>
          <w:rFonts w:hint="eastAsia" w:ascii="仿宋_GB2312" w:hAnsi="宋体" w:eastAsia="仿宋_GB2312" w:cs="Times New Roman"/>
          <w:bCs/>
          <w:kern w:val="2"/>
          <w:sz w:val="32"/>
          <w:szCs w:val="32"/>
          <w:lang w:val="en-US" w:eastAsia="zh-CN"/>
        </w:rPr>
        <w:t>3</w:t>
      </w:r>
      <w:r>
        <w:rPr>
          <w:rFonts w:hint="eastAsia" w:ascii="仿宋_GB2312" w:hAnsi="宋体" w:eastAsia="仿宋_GB2312" w:cs="Times New Roman"/>
          <w:bCs/>
          <w:kern w:val="2"/>
          <w:sz w:val="32"/>
          <w:szCs w:val="32"/>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left"/>
        <w:textAlignment w:val="auto"/>
        <w:rPr>
          <w:rFonts w:hint="default" w:ascii="仿宋_GB2312" w:hAnsi="宋体" w:eastAsia="仿宋_GB2312" w:cs="Times New Roman"/>
          <w:bCs/>
          <w:kern w:val="2"/>
          <w:sz w:val="32"/>
          <w:szCs w:val="32"/>
          <w:lang w:val="en-US" w:eastAsia="zh-CN"/>
        </w:rPr>
      </w:pPr>
      <w:r>
        <w:rPr>
          <w:rFonts w:hint="default" w:ascii="仿宋_GB2312" w:hAnsi="宋体" w:eastAsia="仿宋_GB2312" w:cs="Times New Roman"/>
          <w:bCs/>
          <w:kern w:val="2"/>
          <w:sz w:val="32"/>
          <w:szCs w:val="32"/>
          <w:lang w:val="en-US" w:eastAsia="zh-CN"/>
        </w:rPr>
        <w:t>政府采购违法行为风险知悉确认书</w:t>
      </w:r>
      <w:r>
        <w:rPr>
          <w:rFonts w:hint="eastAsia" w:ascii="仿宋_GB2312" w:hAnsi="宋体" w:eastAsia="仿宋_GB2312" w:cs="Times New Roman"/>
          <w:bCs/>
          <w:kern w:val="2"/>
          <w:sz w:val="32"/>
          <w:szCs w:val="32"/>
        </w:rPr>
        <w:t>（详见附件</w:t>
      </w:r>
      <w:r>
        <w:rPr>
          <w:rFonts w:hint="eastAsia" w:ascii="仿宋_GB2312" w:hAnsi="宋体" w:eastAsia="仿宋_GB2312" w:cs="Times New Roman"/>
          <w:bCs/>
          <w:kern w:val="2"/>
          <w:sz w:val="32"/>
          <w:szCs w:val="32"/>
          <w:lang w:val="en-US" w:eastAsia="zh-CN"/>
        </w:rPr>
        <w:t>4</w:t>
      </w:r>
      <w:r>
        <w:rPr>
          <w:rFonts w:hint="eastAsia" w:ascii="仿宋_GB2312" w:hAnsi="宋体" w:eastAsia="仿宋_GB2312" w:cs="Times New Roman"/>
          <w:bCs/>
          <w:kern w:val="2"/>
          <w:sz w:val="32"/>
          <w:szCs w:val="32"/>
        </w:rPr>
        <w:t>）</w:t>
      </w:r>
      <w:r>
        <w:rPr>
          <w:rFonts w:hint="eastAsia" w:ascii="仿宋_GB2312" w:hAnsi="宋体" w:eastAsia="仿宋_GB2312" w:cs="Times New Roman"/>
          <w:bCs/>
          <w:kern w:val="2"/>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宋体" w:eastAsia="仿宋_GB2312" w:cs="Times New Roman"/>
          <w:bCs/>
          <w:kern w:val="2"/>
          <w:sz w:val="32"/>
          <w:szCs w:val="32"/>
          <w:lang w:val="en-US" w:eastAsia="zh-CN"/>
        </w:rPr>
      </w:pPr>
      <w:r>
        <w:rPr>
          <w:rFonts w:hint="eastAsia" w:ascii="仿宋_GB2312" w:hAnsi="宋体" w:eastAsia="仿宋_GB2312" w:cs="Times New Roman"/>
          <w:bCs/>
          <w:kern w:val="2"/>
          <w:sz w:val="32"/>
          <w:szCs w:val="32"/>
          <w:lang w:val="en-US" w:eastAsia="zh-CN"/>
        </w:rPr>
        <w:t>相关案例及成果文件；</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仿宋_GB2312" w:hAnsi="仿宋" w:eastAsia="仿宋_GB2312" w:cs="宋体"/>
          <w:kern w:val="0"/>
          <w:sz w:val="32"/>
          <w:szCs w:val="32"/>
          <w:lang w:val="en-US" w:eastAsia="zh-CN"/>
        </w:rPr>
      </w:pPr>
      <w:r>
        <w:rPr>
          <w:rFonts w:hint="eastAsia" w:ascii="仿宋_GB2312" w:hAnsi="宋体" w:eastAsia="仿宋_GB2312" w:cs="Times New Roman"/>
          <w:bCs/>
          <w:kern w:val="2"/>
          <w:sz w:val="32"/>
          <w:szCs w:val="32"/>
          <w:lang w:eastAsia="zh-CN"/>
        </w:rPr>
        <w:t>与评分标准相对应的</w:t>
      </w:r>
      <w:r>
        <w:rPr>
          <w:rFonts w:hint="eastAsia" w:ascii="仿宋_GB2312" w:hAnsi="宋体" w:eastAsia="仿宋_GB2312" w:cs="Times New Roman"/>
          <w:bCs/>
          <w:kern w:val="2"/>
          <w:sz w:val="32"/>
          <w:szCs w:val="32"/>
        </w:rPr>
        <w:t>其他投标文件（若投标人有需要提交的其他资料）。</w:t>
      </w:r>
    </w:p>
    <w:p>
      <w:pPr>
        <w:keepNext w:val="0"/>
        <w:keepLines w:val="0"/>
        <w:pageBreakBefore w:val="0"/>
        <w:widowControl/>
        <w:kinsoku/>
        <w:wordWrap/>
        <w:overflowPunct/>
        <w:topLinePunct w:val="0"/>
        <w:autoSpaceDE/>
        <w:autoSpaceDN/>
        <w:bidi w:val="0"/>
        <w:spacing w:after="0" w:line="560" w:lineRule="exact"/>
        <w:ind w:firstLine="640" w:firstLineChars="200"/>
        <w:jc w:val="left"/>
        <w:textAlignment w:val="auto"/>
        <w:rPr>
          <w:rFonts w:ascii="黑体" w:hAnsi="黑体" w:eastAsia="黑体"/>
          <w:sz w:val="32"/>
          <w:szCs w:val="32"/>
        </w:rPr>
      </w:pPr>
      <w:r>
        <w:rPr>
          <w:rFonts w:hint="eastAsia" w:ascii="黑体" w:hAnsi="黑体" w:eastAsia="黑体" w:cs="仿宋"/>
          <w:kern w:val="2"/>
          <w:sz w:val="32"/>
          <w:szCs w:val="32"/>
          <w:lang w:val="zh-TW"/>
        </w:rPr>
        <w:t>十</w:t>
      </w:r>
      <w:r>
        <w:rPr>
          <w:rFonts w:hint="eastAsia" w:ascii="黑体" w:hAnsi="黑体" w:eastAsia="黑体" w:cs="仿宋"/>
          <w:kern w:val="2"/>
          <w:sz w:val="32"/>
          <w:szCs w:val="32"/>
          <w:lang w:val="zh-TW" w:eastAsia="zh-CN"/>
        </w:rPr>
        <w:t>一、</w:t>
      </w:r>
      <w:r>
        <w:rPr>
          <w:rFonts w:hint="eastAsia" w:ascii="黑体" w:hAnsi="黑体" w:eastAsia="黑体"/>
          <w:sz w:val="32"/>
          <w:szCs w:val="32"/>
        </w:rPr>
        <w:t>投标文件的编写及封装要求</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1．投标文件应中文编写，A4纸打印，按照招标文件规定格式填写。所有文件均须加盖公章，并加盖骑缝章。投标人应提交投标文件</w:t>
      </w:r>
      <w:r>
        <w:rPr>
          <w:rFonts w:hint="eastAsia" w:ascii="仿宋_GB2312" w:hAnsi="宋体" w:eastAsia="仿宋_GB2312"/>
          <w:bCs/>
          <w:sz w:val="32"/>
          <w:szCs w:val="32"/>
          <w:lang w:val="en-US" w:eastAsia="zh-CN"/>
        </w:rPr>
        <w:t>5</w:t>
      </w:r>
      <w:r>
        <w:rPr>
          <w:rFonts w:hint="eastAsia" w:ascii="仿宋_GB2312" w:hAnsi="宋体" w:eastAsia="仿宋_GB2312"/>
          <w:bCs/>
          <w:sz w:val="32"/>
          <w:szCs w:val="32"/>
        </w:rPr>
        <w:t>套。</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bCs/>
          <w:sz w:val="32"/>
          <w:szCs w:val="32"/>
        </w:rPr>
      </w:pPr>
      <w:r>
        <w:rPr>
          <w:rFonts w:hint="eastAsia" w:ascii="仿宋_GB2312" w:hAnsi="宋体" w:eastAsia="仿宋_GB2312"/>
          <w:bCs/>
          <w:sz w:val="32"/>
          <w:szCs w:val="32"/>
        </w:rPr>
        <w:t>2．投标文件必须密封，在外层包封封口处应予密封加盖投标人单位公章。</w:t>
      </w:r>
    </w:p>
    <w:p>
      <w:pPr>
        <w:pStyle w:val="11"/>
        <w:keepNext w:val="0"/>
        <w:keepLines w:val="0"/>
        <w:pageBreakBefore w:val="0"/>
        <w:kinsoku/>
        <w:wordWrap/>
        <w:overflowPunct/>
        <w:topLinePunct w:val="0"/>
        <w:autoSpaceDE/>
        <w:autoSpaceDN/>
        <w:bidi w:val="0"/>
        <w:spacing w:after="0" w:line="560" w:lineRule="exact"/>
        <w:ind w:firstLine="640"/>
        <w:textAlignment w:val="auto"/>
        <w:rPr>
          <w:rFonts w:hint="eastAsia" w:ascii="黑体" w:hAnsi="黑体" w:eastAsia="黑体"/>
          <w:sz w:val="32"/>
          <w:szCs w:val="32"/>
          <w:lang w:eastAsia="zh-CN"/>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违约责任</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 w:eastAsia="仿宋_GB2312" w:cs="仿宋"/>
          <w:sz w:val="32"/>
          <w:szCs w:val="32"/>
        </w:rPr>
      </w:pPr>
      <w:r>
        <w:rPr>
          <w:rFonts w:hint="eastAsia" w:ascii="仿宋_GB2312" w:hAnsi="宋体" w:eastAsia="仿宋_GB2312"/>
          <w:bCs/>
          <w:sz w:val="32"/>
          <w:szCs w:val="32"/>
        </w:rPr>
        <w:t>1.中标方未经招标方书面同意，将本合同项下的任务进行转包或分包的，一切</w:t>
      </w:r>
      <w:r>
        <w:rPr>
          <w:rFonts w:hint="eastAsia" w:ascii="仿宋_GB2312" w:hAnsi="仿宋" w:eastAsia="仿宋_GB2312" w:cs="仿宋"/>
          <w:sz w:val="32"/>
          <w:szCs w:val="32"/>
        </w:rPr>
        <w:t>经济损失和法律责任由中标单位承担；</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 w:eastAsia="仿宋_GB2312" w:cs="仿宋"/>
          <w:sz w:val="32"/>
          <w:szCs w:val="32"/>
        </w:rPr>
      </w:pPr>
      <w:r>
        <w:rPr>
          <w:rFonts w:hint="eastAsia" w:ascii="仿宋_GB2312" w:hAnsi="宋体" w:eastAsia="仿宋_GB2312"/>
          <w:bCs/>
          <w:sz w:val="32"/>
          <w:szCs w:val="32"/>
        </w:rPr>
        <w:t>2.中标方中标后拒绝签订合同或者签订合同后拒绝或不及时履行合同义务，招标方有权重新选定中标单位并终止合同，由此造成的</w:t>
      </w:r>
      <w:r>
        <w:rPr>
          <w:rFonts w:hint="eastAsia" w:ascii="仿宋_GB2312" w:hAnsi="仿宋" w:eastAsia="仿宋_GB2312" w:cs="仿宋"/>
          <w:sz w:val="32"/>
          <w:szCs w:val="32"/>
        </w:rPr>
        <w:t>经济损失和法律责任由中标单位承担；</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 w:eastAsia="仿宋_GB2312" w:cs="仿宋"/>
          <w:sz w:val="32"/>
          <w:szCs w:val="32"/>
        </w:rPr>
      </w:pPr>
      <w:r>
        <w:rPr>
          <w:rFonts w:hint="eastAsia" w:ascii="仿宋_GB2312" w:hAnsi="宋体" w:eastAsia="仿宋_GB2312"/>
          <w:bCs/>
          <w:sz w:val="32"/>
          <w:szCs w:val="32"/>
        </w:rPr>
        <w:t>3.</w:t>
      </w:r>
      <w:r>
        <w:rPr>
          <w:rFonts w:hint="eastAsia" w:ascii="仿宋_GB2312" w:hAnsi="仿宋" w:eastAsia="仿宋_GB2312" w:cs="仿宋"/>
          <w:sz w:val="32"/>
          <w:szCs w:val="32"/>
        </w:rPr>
        <w:t>有弄虚作假及其他不当行为的，将终止合同，经济损失和法律责任由中标单位承担；</w:t>
      </w:r>
    </w:p>
    <w:p>
      <w:pPr>
        <w:pStyle w:val="11"/>
        <w:keepNext w:val="0"/>
        <w:keepLines w:val="0"/>
        <w:pageBreakBefore w:val="0"/>
        <w:kinsoku/>
        <w:wordWrap/>
        <w:overflowPunct/>
        <w:topLinePunct w:val="0"/>
        <w:autoSpaceDE/>
        <w:autoSpaceDN/>
        <w:bidi w:val="0"/>
        <w:spacing w:after="0" w:line="560" w:lineRule="exact"/>
        <w:ind w:firstLine="640"/>
        <w:textAlignment w:val="auto"/>
        <w:rPr>
          <w:rFonts w:ascii="仿宋_GB2312" w:hAnsi="仿宋" w:eastAsia="仿宋_GB2312" w:cs="仿宋"/>
          <w:sz w:val="32"/>
          <w:szCs w:val="32"/>
        </w:rPr>
      </w:pPr>
      <w:r>
        <w:rPr>
          <w:rFonts w:hint="eastAsia" w:ascii="仿宋_GB2312" w:hAnsi="仿宋" w:eastAsia="仿宋_GB2312" w:cs="仿宋"/>
          <w:sz w:val="32"/>
          <w:szCs w:val="32"/>
        </w:rPr>
        <w:t>4.违反劳动法或其他相关法律法规，造成恶劣影响的，将终止合同，经济损失和法律责任由中标单位承担。</w:t>
      </w:r>
    </w:p>
    <w:p>
      <w:pPr>
        <w:pStyle w:val="11"/>
        <w:keepNext w:val="0"/>
        <w:keepLines w:val="0"/>
        <w:pageBreakBefore w:val="0"/>
        <w:kinsoku/>
        <w:wordWrap/>
        <w:overflowPunct/>
        <w:topLinePunct w:val="0"/>
        <w:autoSpaceDE/>
        <w:autoSpaceDN/>
        <w:bidi w:val="0"/>
        <w:spacing w:after="0" w:line="560" w:lineRule="exact"/>
        <w:ind w:firstLine="64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、投标文件的递交及评标</w:t>
      </w:r>
      <w:r>
        <w:rPr>
          <w:rFonts w:ascii="黑体" w:hAnsi="黑体" w:eastAsia="黑体"/>
          <w:sz w:val="32"/>
          <w:szCs w:val="32"/>
        </w:rPr>
        <w:t xml:space="preserve"> </w:t>
      </w:r>
    </w:p>
    <w:p>
      <w:pPr>
        <w:pStyle w:val="11"/>
        <w:keepNext w:val="0"/>
        <w:keepLines w:val="0"/>
        <w:pageBreakBefore w:val="0"/>
        <w:kinsoku/>
        <w:wordWrap/>
        <w:overflowPunct/>
        <w:topLinePunct w:val="0"/>
        <w:autoSpaceDE/>
        <w:autoSpaceDN/>
        <w:bidi w:val="0"/>
        <w:spacing w:after="0" w:line="560" w:lineRule="exact"/>
        <w:ind w:firstLine="640"/>
        <w:textAlignment w:val="auto"/>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投标文件递交截止时间：</w:t>
      </w:r>
      <w:r>
        <w:rPr>
          <w:rFonts w:ascii="仿宋_GB2312" w:hAnsi="黑体" w:eastAsia="仿宋_GB2312"/>
          <w:sz w:val="32"/>
          <w:szCs w:val="32"/>
        </w:rPr>
        <w:t>20</w:t>
      </w:r>
      <w:r>
        <w:rPr>
          <w:rFonts w:hint="eastAsia" w:ascii="仿宋_GB2312" w:hAnsi="黑体" w:eastAsia="仿宋_GB2312"/>
          <w:sz w:val="32"/>
          <w:szCs w:val="32"/>
          <w:shd w:val="clear" w:color="auto" w:fill="auto"/>
          <w:lang w:val="en-US" w:eastAsia="zh-CN"/>
        </w:rPr>
        <w:t>22</w:t>
      </w:r>
      <w:r>
        <w:rPr>
          <w:rFonts w:hint="eastAsia" w:ascii="仿宋_GB2312" w:hAnsi="黑体" w:eastAsia="仿宋_GB2312"/>
          <w:sz w:val="32"/>
          <w:szCs w:val="32"/>
          <w:shd w:val="clear" w:color="auto" w:fill="auto"/>
        </w:rPr>
        <w:t>年</w:t>
      </w:r>
      <w:r>
        <w:rPr>
          <w:rFonts w:hint="eastAsia" w:ascii="仿宋_GB2312" w:hAnsi="黑体" w:eastAsia="仿宋_GB2312"/>
          <w:sz w:val="32"/>
          <w:szCs w:val="32"/>
          <w:shd w:val="clear" w:color="auto" w:fill="auto"/>
          <w:lang w:val="en-US" w:eastAsia="zh-CN"/>
        </w:rPr>
        <w:t>9</w:t>
      </w:r>
      <w:r>
        <w:rPr>
          <w:rFonts w:hint="eastAsia" w:ascii="仿宋_GB2312" w:hAnsi="黑体" w:eastAsia="仿宋_GB2312"/>
          <w:sz w:val="32"/>
          <w:szCs w:val="32"/>
          <w:shd w:val="clear" w:color="auto" w:fill="auto"/>
        </w:rPr>
        <w:t>月</w:t>
      </w:r>
      <w:r>
        <w:rPr>
          <w:rFonts w:hint="eastAsia" w:ascii="仿宋_GB2312" w:hAnsi="黑体" w:eastAsia="仿宋_GB2312"/>
          <w:sz w:val="32"/>
          <w:szCs w:val="32"/>
          <w:shd w:val="clear" w:color="auto" w:fill="auto"/>
          <w:lang w:val="en-US" w:eastAsia="zh-CN"/>
        </w:rPr>
        <w:t>1</w:t>
      </w:r>
      <w:r>
        <w:rPr>
          <w:rFonts w:hint="eastAsia" w:ascii="仿宋_GB2312" w:hAnsi="黑体" w:eastAsia="仿宋_GB2312"/>
          <w:sz w:val="32"/>
          <w:szCs w:val="32"/>
          <w:shd w:val="clear" w:color="auto" w:fill="auto"/>
        </w:rPr>
        <w:t>日。</w:t>
      </w:r>
    </w:p>
    <w:p>
      <w:pPr>
        <w:pStyle w:val="11"/>
        <w:keepNext w:val="0"/>
        <w:keepLines w:val="0"/>
        <w:pageBreakBefore w:val="0"/>
        <w:kinsoku/>
        <w:wordWrap/>
        <w:overflowPunct/>
        <w:topLinePunct w:val="0"/>
        <w:autoSpaceDE/>
        <w:autoSpaceDN/>
        <w:bidi w:val="0"/>
        <w:spacing w:after="0" w:line="560" w:lineRule="exact"/>
        <w:ind w:firstLine="640"/>
        <w:textAlignment w:val="auto"/>
        <w:rPr>
          <w:rFonts w:hint="eastAsia"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sz w:val="32"/>
          <w:szCs w:val="32"/>
        </w:rPr>
        <w:t>投标文件递交地点：</w:t>
      </w:r>
      <w:bookmarkStart w:id="0" w:name="_Hlk6235462"/>
    </w:p>
    <w:p>
      <w:pPr>
        <w:pStyle w:val="11"/>
        <w:keepNext w:val="0"/>
        <w:keepLines w:val="0"/>
        <w:pageBreakBefore w:val="0"/>
        <w:kinsoku/>
        <w:wordWrap/>
        <w:overflowPunct/>
        <w:topLinePunct w:val="0"/>
        <w:autoSpaceDE/>
        <w:autoSpaceDN/>
        <w:bidi w:val="0"/>
        <w:spacing w:after="0" w:line="560" w:lineRule="exact"/>
        <w:ind w:firstLine="640"/>
        <w:textAlignment w:val="auto"/>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1</w:t>
      </w:r>
      <w:r>
        <w:rPr>
          <w:rFonts w:hint="eastAsia" w:ascii="仿宋_GB2312" w:hAnsi="黑体" w:eastAsia="仿宋_GB2312"/>
          <w:sz w:val="32"/>
          <w:szCs w:val="32"/>
          <w:lang w:eastAsia="zh-CN"/>
        </w:rPr>
        <w:t>）</w:t>
      </w:r>
      <w:r>
        <w:rPr>
          <w:rFonts w:hint="eastAsia" w:ascii="仿宋_GB2312" w:hAnsi="黑体" w:eastAsia="仿宋_GB2312"/>
          <w:sz w:val="32"/>
          <w:szCs w:val="32"/>
        </w:rPr>
        <w:t>网上投递：</w:t>
      </w:r>
      <w:r>
        <w:rPr>
          <w:rFonts w:hint="eastAsia" w:ascii="仿宋_GB2312" w:hAnsi="黑体" w:eastAsia="仿宋_GB2312"/>
          <w:sz w:val="32"/>
          <w:szCs w:val="32"/>
          <w:lang w:val="en-US" w:eastAsia="zh-CN"/>
        </w:rPr>
        <w:t xml:space="preserve">lisha </w:t>
      </w:r>
      <w:r>
        <w:rPr>
          <w:rFonts w:hint="eastAsia" w:ascii="仿宋_GB2312" w:hAnsi="黑体" w:eastAsia="仿宋_GB2312"/>
          <w:sz w:val="32"/>
          <w:szCs w:val="32"/>
        </w:rPr>
        <w:t>@szpsq.gov.cn（电子邮箱）</w:t>
      </w:r>
    </w:p>
    <w:p>
      <w:pPr>
        <w:pStyle w:val="11"/>
        <w:keepNext w:val="0"/>
        <w:keepLines w:val="0"/>
        <w:pageBreakBefore w:val="0"/>
        <w:kinsoku/>
        <w:overflowPunct/>
        <w:topLinePunct w:val="0"/>
        <w:bidi w:val="0"/>
        <w:spacing w:line="560" w:lineRule="exact"/>
        <w:ind w:firstLine="640"/>
        <w:textAlignment w:val="auto"/>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2</w:t>
      </w:r>
      <w:r>
        <w:rPr>
          <w:rFonts w:hint="eastAsia" w:ascii="仿宋_GB2312" w:hAnsi="黑体" w:eastAsia="仿宋_GB2312"/>
          <w:sz w:val="32"/>
          <w:szCs w:val="32"/>
          <w:lang w:eastAsia="zh-CN"/>
        </w:rPr>
        <w:t>）</w:t>
      </w:r>
      <w:r>
        <w:rPr>
          <w:rFonts w:hint="eastAsia" w:ascii="仿宋_GB2312" w:hAnsi="黑体" w:eastAsia="仿宋_GB2312"/>
          <w:sz w:val="32"/>
          <w:szCs w:val="32"/>
        </w:rPr>
        <w:t>邮寄投递：深圳市坪山区坪山大道333号，联系人：</w:t>
      </w:r>
      <w:r>
        <w:rPr>
          <w:rFonts w:hint="eastAsia" w:ascii="仿宋_GB2312" w:hAnsi="黑体" w:eastAsia="仿宋_GB2312"/>
          <w:sz w:val="32"/>
          <w:szCs w:val="32"/>
          <w:lang w:eastAsia="zh-CN"/>
        </w:rPr>
        <w:t>李</w:t>
      </w:r>
      <w:r>
        <w:rPr>
          <w:rFonts w:hint="eastAsia" w:ascii="仿宋_GB2312" w:hAnsi="黑体" w:eastAsia="仿宋_GB2312"/>
          <w:sz w:val="32"/>
          <w:szCs w:val="32"/>
        </w:rPr>
        <w:t>小姐，电话：</w:t>
      </w:r>
      <w:r>
        <w:rPr>
          <w:rFonts w:hint="eastAsia" w:ascii="仿宋_GB2312" w:hAnsi="黑体" w:eastAsia="仿宋_GB2312"/>
          <w:sz w:val="32"/>
          <w:szCs w:val="32"/>
          <w:lang w:val="en-US" w:eastAsia="zh-CN"/>
        </w:rPr>
        <w:t>13641449797</w:t>
      </w:r>
    </w:p>
    <w:bookmarkEnd w:id="0"/>
    <w:p>
      <w:pPr>
        <w:pStyle w:val="11"/>
        <w:keepNext w:val="0"/>
        <w:keepLines w:val="0"/>
        <w:pageBreakBefore w:val="0"/>
        <w:kinsoku/>
        <w:wordWrap/>
        <w:overflowPunct/>
        <w:topLinePunct w:val="0"/>
        <w:autoSpaceDE/>
        <w:autoSpaceDN/>
        <w:bidi w:val="0"/>
        <w:spacing w:after="0" w:line="560" w:lineRule="exact"/>
        <w:textAlignment w:val="auto"/>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评审地点：深圳市坪山区人大常委会</w:t>
      </w:r>
      <w:r>
        <w:rPr>
          <w:rFonts w:hint="eastAsia" w:ascii="仿宋_GB2312" w:hAnsi="黑体" w:eastAsia="仿宋_GB2312"/>
          <w:sz w:val="32"/>
          <w:szCs w:val="32"/>
          <w:lang w:val="en-US" w:eastAsia="zh-CN"/>
        </w:rPr>
        <w:t>221</w:t>
      </w:r>
      <w:r>
        <w:rPr>
          <w:rFonts w:hint="eastAsia" w:ascii="仿宋_GB2312" w:hAnsi="黑体" w:eastAsia="仿宋_GB2312"/>
          <w:sz w:val="32"/>
          <w:szCs w:val="32"/>
        </w:rPr>
        <w:t>办公室。</w:t>
      </w:r>
    </w:p>
    <w:p>
      <w:pPr>
        <w:pStyle w:val="11"/>
        <w:keepNext w:val="0"/>
        <w:keepLines w:val="0"/>
        <w:pageBreakBefore w:val="0"/>
        <w:kinsoku/>
        <w:wordWrap/>
        <w:overflowPunct/>
        <w:topLinePunct w:val="0"/>
        <w:autoSpaceDE/>
        <w:autoSpaceDN/>
        <w:bidi w:val="0"/>
        <w:spacing w:after="0" w:line="560" w:lineRule="exact"/>
        <w:ind w:firstLine="640"/>
        <w:textAlignment w:val="auto"/>
        <w:rPr>
          <w:rFonts w:ascii="仿宋_GB2312" w:hAnsi="宋体" w:eastAsia="仿宋_GB2312"/>
          <w:bCs/>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投标人务必认真阅读招标文件的内容，按照招标文件的格式和内容要求编制投标文件，按规定的时间地方进行投标。</w:t>
      </w:r>
    </w:p>
    <w:p>
      <w:pPr>
        <w:pStyle w:val="11"/>
        <w:keepNext w:val="0"/>
        <w:keepLines w:val="0"/>
        <w:pageBreakBefore w:val="0"/>
        <w:kinsoku/>
        <w:overflowPunct/>
        <w:topLinePunct w:val="0"/>
        <w:bidi w:val="0"/>
        <w:spacing w:line="560" w:lineRule="exact"/>
        <w:ind w:firstLine="640"/>
        <w:textAlignment w:val="auto"/>
        <w:rPr>
          <w:rFonts w:hint="eastAsia" w:ascii="仿宋_GB2312" w:hAnsi="宋体" w:eastAsia="仿宋_GB2312"/>
          <w:bCs/>
          <w:sz w:val="32"/>
          <w:szCs w:val="32"/>
        </w:rPr>
      </w:pPr>
    </w:p>
    <w:p>
      <w:pPr>
        <w:pStyle w:val="11"/>
        <w:keepNext w:val="0"/>
        <w:keepLines w:val="0"/>
        <w:pageBreakBefore w:val="0"/>
        <w:kinsoku/>
        <w:overflowPunct/>
        <w:topLinePunct w:val="0"/>
        <w:bidi w:val="0"/>
        <w:spacing w:line="560" w:lineRule="exact"/>
        <w:ind w:firstLine="640"/>
        <w:textAlignment w:val="auto"/>
        <w:rPr>
          <w:rFonts w:hint="eastAsia" w:ascii="仿宋_GB2312" w:hAnsi="宋体" w:eastAsia="仿宋_GB2312"/>
          <w:bCs/>
          <w:sz w:val="32"/>
          <w:szCs w:val="32"/>
          <w:lang w:eastAsia="zh-CN"/>
        </w:rPr>
      </w:pPr>
      <w:r>
        <w:rPr>
          <w:rFonts w:hint="eastAsia" w:ascii="仿宋_GB2312" w:hAnsi="宋体" w:eastAsia="仿宋_GB2312"/>
          <w:bCs/>
          <w:sz w:val="32"/>
          <w:szCs w:val="32"/>
        </w:rPr>
        <w:t>附件：1.</w:t>
      </w:r>
      <w:r>
        <w:rPr>
          <w:rFonts w:hint="eastAsia" w:ascii="仿宋_GB2312" w:hAnsi="宋体" w:eastAsia="仿宋_GB2312"/>
          <w:bCs/>
          <w:sz w:val="32"/>
          <w:szCs w:val="32"/>
          <w:lang w:eastAsia="zh-CN"/>
        </w:rPr>
        <w:t>评分标准</w:t>
      </w:r>
    </w:p>
    <w:p>
      <w:pPr>
        <w:pStyle w:val="11"/>
        <w:keepNext w:val="0"/>
        <w:keepLines w:val="0"/>
        <w:pageBreakBefore w:val="0"/>
        <w:kinsoku/>
        <w:overflowPunct/>
        <w:topLinePunct w:val="0"/>
        <w:bidi w:val="0"/>
        <w:spacing w:line="560" w:lineRule="exact"/>
        <w:ind w:firstLine="1600" w:firstLineChars="500"/>
        <w:textAlignment w:val="auto"/>
        <w:rPr>
          <w:rFonts w:ascii="仿宋_GB2312" w:hAnsi="宋体" w:eastAsia="仿宋_GB2312"/>
          <w:bCs/>
          <w:sz w:val="32"/>
          <w:szCs w:val="32"/>
        </w:rPr>
      </w:pPr>
      <w:r>
        <w:rPr>
          <w:rFonts w:hint="eastAsia" w:ascii="仿宋_GB2312" w:hAnsi="宋体" w:eastAsia="仿宋_GB2312"/>
          <w:bCs/>
          <w:sz w:val="32"/>
          <w:szCs w:val="32"/>
          <w:lang w:val="en-US" w:eastAsia="zh-CN"/>
        </w:rPr>
        <w:t>2.</w:t>
      </w:r>
      <w:r>
        <w:rPr>
          <w:rFonts w:hint="eastAsia" w:ascii="仿宋_GB2312" w:hAnsi="宋体" w:eastAsia="仿宋_GB2312"/>
          <w:bCs/>
          <w:sz w:val="32"/>
          <w:szCs w:val="32"/>
        </w:rPr>
        <w:t>投标函</w:t>
      </w:r>
    </w:p>
    <w:p>
      <w:pPr>
        <w:pStyle w:val="11"/>
        <w:keepNext w:val="0"/>
        <w:keepLines w:val="0"/>
        <w:pageBreakBefore w:val="0"/>
        <w:kinsoku/>
        <w:overflowPunct/>
        <w:topLinePunct w:val="0"/>
        <w:bidi w:val="0"/>
        <w:spacing w:line="560" w:lineRule="exact"/>
        <w:ind w:firstLine="1600" w:firstLineChars="500"/>
        <w:textAlignment w:val="auto"/>
        <w:rPr>
          <w:rFonts w:hint="eastAsia" w:ascii="仿宋_GB2312" w:hAnsi="宋体" w:eastAsia="仿宋_GB2312"/>
          <w:bCs/>
          <w:sz w:val="32"/>
          <w:szCs w:val="32"/>
        </w:rPr>
      </w:pP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.报价函</w:t>
      </w:r>
    </w:p>
    <w:p>
      <w:pPr>
        <w:pStyle w:val="11"/>
        <w:keepNext w:val="0"/>
        <w:keepLines w:val="0"/>
        <w:pageBreakBefore w:val="0"/>
        <w:kinsoku/>
        <w:overflowPunct/>
        <w:topLinePunct w:val="0"/>
        <w:bidi w:val="0"/>
        <w:spacing w:line="560" w:lineRule="exact"/>
        <w:ind w:firstLine="1600" w:firstLineChars="500"/>
        <w:textAlignment w:val="auto"/>
        <w:rPr>
          <w:rFonts w:hint="default" w:ascii="仿宋_GB2312" w:hAnsi="宋体" w:eastAsia="仿宋_GB2312"/>
          <w:bCs/>
          <w:sz w:val="32"/>
          <w:szCs w:val="32"/>
          <w:lang w:val="en-US" w:eastAsia="zh-CN"/>
        </w:rPr>
      </w:pPr>
      <w:r>
        <w:rPr>
          <w:rFonts w:hint="eastAsia" w:ascii="仿宋_GB2312" w:hAnsi="宋体" w:eastAsia="仿宋_GB2312"/>
          <w:bCs/>
          <w:sz w:val="32"/>
          <w:szCs w:val="32"/>
          <w:lang w:val="en-US" w:eastAsia="zh-CN"/>
        </w:rPr>
        <w:t>4.</w:t>
      </w:r>
      <w:r>
        <w:rPr>
          <w:rFonts w:hint="default" w:ascii="仿宋_GB2312" w:hAnsi="宋体" w:eastAsia="仿宋_GB2312" w:cs="Times New Roman"/>
          <w:bCs/>
          <w:kern w:val="2"/>
          <w:sz w:val="32"/>
          <w:szCs w:val="32"/>
          <w:lang w:val="en-US" w:eastAsia="zh-CN"/>
        </w:rPr>
        <w:t>政府采购违法行为风险知悉确认书</w:t>
      </w:r>
    </w:p>
    <w:p>
      <w:pPr>
        <w:pStyle w:val="11"/>
        <w:keepNext w:val="0"/>
        <w:keepLines w:val="0"/>
        <w:pageBreakBefore w:val="0"/>
        <w:kinsoku/>
        <w:overflowPunct/>
        <w:topLinePunct w:val="0"/>
        <w:bidi w:val="0"/>
        <w:spacing w:line="560" w:lineRule="exact"/>
        <w:ind w:firstLine="1600" w:firstLineChars="500"/>
        <w:textAlignment w:val="auto"/>
        <w:rPr>
          <w:rFonts w:hint="eastAsia" w:ascii="仿宋_GB2312" w:hAnsi="宋体" w:eastAsia="仿宋_GB2312"/>
          <w:bCs/>
          <w:sz w:val="32"/>
          <w:szCs w:val="32"/>
        </w:rPr>
      </w:pPr>
    </w:p>
    <w:p>
      <w:pPr>
        <w:keepNext w:val="0"/>
        <w:keepLines w:val="0"/>
        <w:pageBreakBefore w:val="0"/>
        <w:kinsoku/>
        <w:wordWrap w:val="0"/>
        <w:overflowPunct/>
        <w:topLinePunct w:val="0"/>
        <w:bidi w:val="0"/>
        <w:spacing w:line="560" w:lineRule="exact"/>
        <w:jc w:val="right"/>
        <w:textAlignment w:val="auto"/>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 xml:space="preserve">深圳市坪山区人大常委会办公室 </w:t>
      </w:r>
    </w:p>
    <w:p>
      <w:pPr>
        <w:keepNext w:val="0"/>
        <w:keepLines w:val="0"/>
        <w:pageBreakBefore w:val="0"/>
        <w:kinsoku/>
        <w:wordWrap w:val="0"/>
        <w:overflowPunct/>
        <w:topLinePunct w:val="0"/>
        <w:bidi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 xml:space="preserve">  </w:t>
      </w:r>
    </w:p>
    <w:p>
      <w:pPr>
        <w:keepNext w:val="0"/>
        <w:keepLines w:val="0"/>
        <w:pageBreakBefore w:val="0"/>
        <w:kinsoku/>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kinsoku/>
        <w:overflowPunct/>
        <w:topLinePunct w:val="0"/>
        <w:bidi w:val="0"/>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pacing w:after="0" w:line="360" w:lineRule="auto"/>
        <w:ind w:firstLine="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评分标准</w:t>
      </w:r>
    </w:p>
    <w:tbl>
      <w:tblPr>
        <w:tblStyle w:val="8"/>
        <w:tblpPr w:leftFromText="180" w:rightFromText="180" w:vertAnchor="text" w:tblpXSpec="center" w:tblpY="1"/>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5"/>
        <w:gridCol w:w="840"/>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435" w:type="dxa"/>
            <w:gridSpan w:val="4"/>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评分项及评分规则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序号</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内容</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权重</w:t>
            </w:r>
          </w:p>
        </w:tc>
        <w:tc>
          <w:tcPr>
            <w:tcW w:w="6473"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1</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价格</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rPr>
            </w:pPr>
            <w:r>
              <w:rPr>
                <w:rFonts w:hint="eastAsia" w:ascii="仿宋_GB2312" w:hAnsi="黑体" w:eastAsia="仿宋_GB2312"/>
                <w:sz w:val="28"/>
                <w:szCs w:val="28"/>
                <w:lang w:val="en-US" w:eastAsia="zh-CN"/>
              </w:rPr>
              <w:t>10</w:t>
            </w:r>
          </w:p>
        </w:tc>
        <w:tc>
          <w:tcPr>
            <w:tcW w:w="6473" w:type="dxa"/>
            <w:vAlign w:val="top"/>
          </w:tcPr>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ascii="仿宋_GB2312" w:hAnsi="黑体" w:eastAsia="仿宋_GB2312"/>
                <w:sz w:val="24"/>
                <w:szCs w:val="24"/>
              </w:rPr>
            </w:pPr>
            <w:r>
              <w:rPr>
                <w:rFonts w:hint="eastAsia" w:ascii="仿宋_GB2312" w:hAnsi="黑体" w:eastAsia="仿宋_GB2312"/>
                <w:sz w:val="24"/>
                <w:szCs w:val="24"/>
              </w:rPr>
              <w:t>综合评分法中的价格分统一采用低价优先法计算，即满足招标文件要求且投标价格最低的投标报价为</w:t>
            </w:r>
            <w:r>
              <w:rPr>
                <w:rFonts w:hint="eastAsia" w:ascii="仿宋_GB2312" w:hAnsi="黑体" w:eastAsia="仿宋_GB2312"/>
                <w:b/>
                <w:bCs/>
                <w:sz w:val="24"/>
                <w:szCs w:val="24"/>
              </w:rPr>
              <w:t>评标基准价</w:t>
            </w:r>
            <w:r>
              <w:rPr>
                <w:rFonts w:hint="eastAsia" w:ascii="仿宋_GB2312" w:hAnsi="黑体" w:eastAsia="仿宋_GB2312"/>
                <w:sz w:val="24"/>
                <w:szCs w:val="24"/>
              </w:rPr>
              <w:t>，其价格分为</w:t>
            </w:r>
            <w:r>
              <w:rPr>
                <w:rFonts w:hint="eastAsia" w:ascii="仿宋_GB2312" w:hAnsi="黑体" w:eastAsia="仿宋_GB2312"/>
                <w:b/>
                <w:bCs/>
                <w:sz w:val="24"/>
                <w:szCs w:val="24"/>
              </w:rPr>
              <w:t>满分</w:t>
            </w:r>
            <w:r>
              <w:rPr>
                <w:rFonts w:hint="eastAsia" w:ascii="仿宋_GB2312" w:hAnsi="黑体" w:eastAsia="仿宋_GB2312"/>
                <w:sz w:val="24"/>
                <w:szCs w:val="24"/>
              </w:rPr>
              <w:t>。其他投标人的价格分统一按照下列公式计算：</w:t>
            </w:r>
            <w:r>
              <w:rPr>
                <w:rFonts w:hint="eastAsia" w:ascii="仿宋_GB2312" w:hAnsi="黑体" w:eastAsia="仿宋_GB2312"/>
                <w:b/>
                <w:bCs/>
                <w:sz w:val="24"/>
                <w:szCs w:val="24"/>
              </w:rPr>
              <w:t>投标报价得分=（评标基准价值/投标报价）*权重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5" w:hRule="atLeast"/>
        </w:trPr>
        <w:tc>
          <w:tcPr>
            <w:tcW w:w="8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2</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投标人同类项目业绩情况</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30</w:t>
            </w:r>
          </w:p>
        </w:tc>
        <w:tc>
          <w:tcPr>
            <w:tcW w:w="6473"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zh-TW" w:eastAsia="zh-CN"/>
              </w:rPr>
              <w:t>1、评审标准：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highlight w:val="none"/>
                <w:lang w:val="zh-TW" w:eastAsia="zh-CN"/>
              </w:rPr>
            </w:pPr>
            <w:r>
              <w:rPr>
                <w:rFonts w:hint="eastAsia" w:ascii="仿宋_GB2312" w:hAnsi="黑体" w:eastAsia="仿宋_GB2312"/>
                <w:sz w:val="24"/>
                <w:szCs w:val="24"/>
                <w:lang w:val="zh-TW" w:eastAsia="zh-CN"/>
              </w:rPr>
              <w:t>投标人在本项目投标截止时间三年内，具有相关项目绩效评价工</w:t>
            </w:r>
            <w:bookmarkStart w:id="1" w:name="_GoBack"/>
            <w:r>
              <w:rPr>
                <w:rFonts w:hint="eastAsia" w:ascii="仿宋_GB2312" w:hAnsi="黑体" w:eastAsia="仿宋_GB2312"/>
                <w:sz w:val="24"/>
                <w:szCs w:val="24"/>
                <w:highlight w:val="none"/>
                <w:lang w:val="zh-TW" w:eastAsia="zh-CN"/>
              </w:rPr>
              <w:t>作或咨询服务经验。其中：</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highlight w:val="none"/>
                <w:lang w:val="zh-TW" w:eastAsia="zh-CN"/>
              </w:rPr>
            </w:pPr>
            <w:r>
              <w:rPr>
                <w:rFonts w:hint="eastAsia" w:ascii="仿宋_GB2312" w:hAnsi="黑体" w:eastAsia="仿宋_GB2312"/>
                <w:sz w:val="24"/>
                <w:szCs w:val="24"/>
                <w:highlight w:val="none"/>
                <w:lang w:val="zh-TW" w:eastAsia="zh-CN"/>
              </w:rPr>
              <w:t>1）具有各类部级行政单位绩效评价或咨询服务经验，每提供一个案例，得6分；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highlight w:val="none"/>
                <w:lang w:val="zh-TW" w:eastAsia="zh-CN"/>
              </w:rPr>
            </w:pPr>
            <w:r>
              <w:rPr>
                <w:rFonts w:hint="eastAsia" w:ascii="仿宋_GB2312" w:hAnsi="黑体" w:eastAsia="仿宋_GB2312"/>
                <w:sz w:val="24"/>
                <w:szCs w:val="24"/>
                <w:highlight w:val="none"/>
                <w:lang w:val="zh-TW" w:eastAsia="zh-CN"/>
              </w:rPr>
              <w:t>2）具有省级行政单位绩效评价或咨询服务经验，每提供一个案例，得4分；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highlight w:val="none"/>
                <w:lang w:val="zh-TW" w:eastAsia="zh-CN"/>
              </w:rPr>
              <w:t>3）具有计划单列市行政单位绩效评价或咨询服务经</w:t>
            </w:r>
            <w:bookmarkEnd w:id="1"/>
            <w:r>
              <w:rPr>
                <w:rFonts w:hint="eastAsia" w:ascii="仿宋_GB2312" w:hAnsi="黑体" w:eastAsia="仿宋_GB2312"/>
                <w:sz w:val="24"/>
                <w:szCs w:val="24"/>
                <w:lang w:val="zh-TW" w:eastAsia="zh-CN"/>
              </w:rPr>
              <w:t>验，每提供一个案例，得3分。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以上三项可累计得分，最高得</w:t>
            </w:r>
            <w:r>
              <w:rPr>
                <w:rFonts w:hint="eastAsia" w:ascii="仿宋_GB2312" w:hAnsi="黑体" w:eastAsia="仿宋_GB2312"/>
                <w:sz w:val="24"/>
                <w:szCs w:val="24"/>
                <w:lang w:val="en-US" w:eastAsia="zh-CN"/>
              </w:rPr>
              <w:t>30</w:t>
            </w:r>
            <w:r>
              <w:rPr>
                <w:rFonts w:hint="eastAsia" w:ascii="仿宋_GB2312" w:hAnsi="黑体" w:eastAsia="仿宋_GB2312"/>
                <w:sz w:val="24"/>
                <w:szCs w:val="24"/>
                <w:lang w:val="zh-TW" w:eastAsia="zh-CN"/>
              </w:rPr>
              <w:t>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zh-TW" w:eastAsia="zh-CN"/>
              </w:rPr>
              <w:t>2、证明文件：</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1）需提供项目合同关键页或中标通知书作为得分依据，未提供或提供的资料评审专家无法判断的则不得分。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2）通过合同关键信息无法判断是否得分的，投标文件还须同时提供能证明得分的其它证明资料，如项目报告或合同甲方出具的证明文件等。</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lang w:val="en-US" w:eastAsia="zh-CN"/>
              </w:rPr>
            </w:pPr>
            <w:r>
              <w:rPr>
                <w:rFonts w:hint="eastAsia" w:ascii="仿宋_GB2312" w:hAnsi="黑体" w:eastAsia="仿宋_GB2312"/>
                <w:sz w:val="24"/>
                <w:szCs w:val="24"/>
                <w:lang w:val="zh-TW" w:eastAsia="zh-CN"/>
              </w:rPr>
              <w:t>3）以上资料均要求提供复印件。评分中出现无证明资料或专家无法凭所提供资料判断是否得分的情况，一律作不得分处理。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3" w:hRule="atLeast"/>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rPr>
              <w:t>3</w:t>
            </w: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p>
        </w:tc>
        <w:tc>
          <w:tcPr>
            <w:tcW w:w="130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_GB2312" w:hAnsi="黑体" w:eastAsia="仿宋_GB2312"/>
                <w:sz w:val="28"/>
                <w:szCs w:val="28"/>
              </w:rPr>
            </w:pPr>
            <w:r>
              <w:rPr>
                <w:rFonts w:hint="eastAsia" w:ascii="仿宋_GB2312" w:hAnsi="黑体" w:eastAsia="仿宋_GB2312"/>
                <w:sz w:val="28"/>
                <w:szCs w:val="28"/>
                <w:lang w:val="zh-CN"/>
              </w:rPr>
              <w:t>项目服务方案</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50</w:t>
            </w:r>
          </w:p>
        </w:tc>
        <w:tc>
          <w:tcPr>
            <w:tcW w:w="64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en-US" w:eastAsia="zh-CN"/>
              </w:rPr>
              <w:t>1、</w:t>
            </w:r>
            <w:r>
              <w:rPr>
                <w:rFonts w:hint="eastAsia" w:ascii="仿宋_GB2312" w:hAnsi="黑体" w:eastAsia="仿宋_GB2312"/>
                <w:b/>
                <w:bCs/>
                <w:sz w:val="24"/>
                <w:szCs w:val="24"/>
                <w:lang w:val="zh-TW" w:eastAsia="zh-CN"/>
              </w:rPr>
              <w:t>评审标准：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1）项目服务方案</w:t>
            </w:r>
            <w:r>
              <w:rPr>
                <w:rFonts w:hint="eastAsia" w:ascii="仿宋_GB2312" w:hAnsi="黑体" w:eastAsia="仿宋_GB2312"/>
                <w:sz w:val="24"/>
                <w:szCs w:val="24"/>
                <w:u w:val="single"/>
                <w:lang w:val="zh-TW" w:eastAsia="zh-CN"/>
              </w:rPr>
              <w:t>内容全面</w:t>
            </w:r>
            <w:r>
              <w:rPr>
                <w:rFonts w:hint="eastAsia" w:ascii="仿宋_GB2312" w:hAnsi="黑体" w:eastAsia="仿宋_GB2312"/>
                <w:sz w:val="24"/>
                <w:szCs w:val="24"/>
                <w:lang w:val="zh-TW" w:eastAsia="zh-CN"/>
              </w:rPr>
              <w:t>（方案须涵盖评价依据、评价内容、方法、重点关注事项、项目开展时间安排、团队人员、保密条款等）的评价为优得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分；项目服务方案内容较为全面的评价为良得</w:t>
            </w:r>
            <w:r>
              <w:rPr>
                <w:rFonts w:hint="eastAsia" w:ascii="仿宋_GB2312" w:hAnsi="黑体" w:eastAsia="仿宋_GB2312"/>
                <w:sz w:val="24"/>
                <w:szCs w:val="24"/>
                <w:lang w:val="en-US" w:eastAsia="zh-CN"/>
              </w:rPr>
              <w:t>6</w:t>
            </w:r>
            <w:r>
              <w:rPr>
                <w:rFonts w:hint="eastAsia" w:ascii="仿宋_GB2312" w:hAnsi="黑体" w:eastAsia="仿宋_GB2312"/>
                <w:sz w:val="24"/>
                <w:szCs w:val="24"/>
                <w:lang w:val="zh-TW" w:eastAsia="zh-CN"/>
              </w:rPr>
              <w:t>分；项目服务方案内容一般的评价为中得</w:t>
            </w:r>
            <w:r>
              <w:rPr>
                <w:rFonts w:hint="eastAsia" w:ascii="仿宋_GB2312" w:hAnsi="黑体" w:eastAsia="仿宋_GB2312"/>
                <w:sz w:val="24"/>
                <w:szCs w:val="24"/>
                <w:lang w:val="en-US" w:eastAsia="zh-CN"/>
              </w:rPr>
              <w:t>4</w:t>
            </w:r>
            <w:r>
              <w:rPr>
                <w:rFonts w:hint="eastAsia" w:ascii="仿宋_GB2312" w:hAnsi="黑体" w:eastAsia="仿宋_GB2312"/>
                <w:sz w:val="24"/>
                <w:szCs w:val="24"/>
                <w:lang w:val="zh-TW" w:eastAsia="zh-CN"/>
              </w:rPr>
              <w:t>分；项目服务方案内容不够全面的评价为差不得分。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2）项目服务方案</w:t>
            </w:r>
            <w:r>
              <w:rPr>
                <w:rFonts w:hint="eastAsia" w:ascii="仿宋_GB2312" w:hAnsi="黑体" w:eastAsia="仿宋_GB2312"/>
                <w:sz w:val="24"/>
                <w:szCs w:val="24"/>
                <w:u w:val="single"/>
                <w:lang w:val="zh-TW" w:eastAsia="zh-CN"/>
              </w:rPr>
              <w:t>内容具体</w:t>
            </w:r>
            <w:r>
              <w:rPr>
                <w:rFonts w:hint="eastAsia" w:ascii="仿宋_GB2312" w:hAnsi="黑体" w:eastAsia="仿宋_GB2312"/>
                <w:sz w:val="24"/>
                <w:szCs w:val="24"/>
                <w:lang w:val="zh-TW" w:eastAsia="zh-CN"/>
              </w:rPr>
              <w:t>（对各项工作有较详细的描述，可通过服务方案看出评价工作的整体思路）的评价为优得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分；项目服务方案内容较为具体的评价为良得</w:t>
            </w:r>
            <w:r>
              <w:rPr>
                <w:rFonts w:hint="eastAsia" w:ascii="仿宋_GB2312" w:hAnsi="黑体" w:eastAsia="仿宋_GB2312"/>
                <w:sz w:val="24"/>
                <w:szCs w:val="24"/>
                <w:lang w:val="en-US" w:eastAsia="zh-CN"/>
              </w:rPr>
              <w:t>6</w:t>
            </w:r>
            <w:r>
              <w:rPr>
                <w:rFonts w:hint="eastAsia" w:ascii="仿宋_GB2312" w:hAnsi="黑体" w:eastAsia="仿宋_GB2312"/>
                <w:sz w:val="24"/>
                <w:szCs w:val="24"/>
                <w:lang w:val="zh-TW" w:eastAsia="zh-CN"/>
              </w:rPr>
              <w:t>分；项目服务方案内容一般的评价为中得</w:t>
            </w:r>
            <w:r>
              <w:rPr>
                <w:rFonts w:hint="eastAsia" w:ascii="仿宋_GB2312" w:hAnsi="黑体" w:eastAsia="仿宋_GB2312"/>
                <w:sz w:val="24"/>
                <w:szCs w:val="24"/>
                <w:lang w:val="en-US" w:eastAsia="zh-CN"/>
              </w:rPr>
              <w:t>4</w:t>
            </w:r>
            <w:r>
              <w:rPr>
                <w:rFonts w:hint="eastAsia" w:ascii="仿宋_GB2312" w:hAnsi="黑体" w:eastAsia="仿宋_GB2312"/>
                <w:sz w:val="24"/>
                <w:szCs w:val="24"/>
                <w:lang w:val="zh-TW" w:eastAsia="zh-CN"/>
              </w:rPr>
              <w:t>分；项目服务方案内容不够具体的评价为差不得分。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3）项目服务方案</w:t>
            </w:r>
            <w:r>
              <w:rPr>
                <w:rFonts w:hint="eastAsia" w:ascii="仿宋_GB2312" w:hAnsi="黑体" w:eastAsia="仿宋_GB2312"/>
                <w:sz w:val="24"/>
                <w:szCs w:val="24"/>
                <w:u w:val="single"/>
                <w:lang w:val="zh-TW" w:eastAsia="zh-CN"/>
              </w:rPr>
              <w:t>内容针对性强</w:t>
            </w:r>
            <w:r>
              <w:rPr>
                <w:rFonts w:hint="eastAsia" w:ascii="仿宋_GB2312" w:hAnsi="黑体" w:eastAsia="仿宋_GB2312"/>
                <w:sz w:val="24"/>
                <w:szCs w:val="24"/>
                <w:lang w:val="zh-TW" w:eastAsia="zh-CN"/>
              </w:rPr>
              <w:t>（要根据具体项目的特点提出服务方案，针对具体项目开展的重点、难点进行分析并提出应对措施）的评价为优得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分；项目服务方案内容针对性较强的评价为良得</w:t>
            </w:r>
            <w:r>
              <w:rPr>
                <w:rFonts w:hint="eastAsia" w:ascii="仿宋_GB2312" w:hAnsi="黑体" w:eastAsia="仿宋_GB2312"/>
                <w:sz w:val="24"/>
                <w:szCs w:val="24"/>
                <w:lang w:val="en-US" w:eastAsia="zh-CN"/>
              </w:rPr>
              <w:t>6</w:t>
            </w:r>
            <w:r>
              <w:rPr>
                <w:rFonts w:hint="eastAsia" w:ascii="仿宋_GB2312" w:hAnsi="黑体" w:eastAsia="仿宋_GB2312"/>
                <w:sz w:val="24"/>
                <w:szCs w:val="24"/>
                <w:lang w:val="zh-TW" w:eastAsia="zh-CN"/>
              </w:rPr>
              <w:t>分；项目服务方案内容针对性一般的评价为中得</w:t>
            </w:r>
            <w:r>
              <w:rPr>
                <w:rFonts w:hint="eastAsia" w:ascii="仿宋_GB2312" w:hAnsi="黑体" w:eastAsia="仿宋_GB2312"/>
                <w:sz w:val="24"/>
                <w:szCs w:val="24"/>
                <w:lang w:val="en-US" w:eastAsia="zh-CN"/>
              </w:rPr>
              <w:t>4</w:t>
            </w:r>
            <w:r>
              <w:rPr>
                <w:rFonts w:hint="eastAsia" w:ascii="仿宋_GB2312" w:hAnsi="黑体" w:eastAsia="仿宋_GB2312"/>
                <w:sz w:val="24"/>
                <w:szCs w:val="24"/>
                <w:lang w:val="zh-TW" w:eastAsia="zh-CN"/>
              </w:rPr>
              <w:t>分；项目服务方案内容针对性较弱的评价为差不得分。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4）项目服务方案</w:t>
            </w:r>
            <w:r>
              <w:rPr>
                <w:rFonts w:hint="eastAsia" w:ascii="仿宋_GB2312" w:hAnsi="黑体" w:eastAsia="仿宋_GB2312"/>
                <w:sz w:val="24"/>
                <w:szCs w:val="24"/>
                <w:u w:val="single"/>
                <w:lang w:val="zh-TW" w:eastAsia="zh-CN"/>
              </w:rPr>
              <w:t>内容科学合理</w:t>
            </w:r>
            <w:r>
              <w:rPr>
                <w:rFonts w:hint="eastAsia" w:ascii="仿宋_GB2312" w:hAnsi="黑体" w:eastAsia="仿宋_GB2312"/>
                <w:sz w:val="24"/>
                <w:szCs w:val="24"/>
                <w:lang w:val="zh-TW" w:eastAsia="zh-CN"/>
              </w:rPr>
              <w:t>（方案内容符合财政部、深圳市项目绩效评价相关要求，方案设计符合逻辑）的评价为优得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分；项目服务方案内容较为科学合理的评价为良得</w:t>
            </w:r>
            <w:r>
              <w:rPr>
                <w:rFonts w:hint="eastAsia" w:ascii="仿宋_GB2312" w:hAnsi="黑体" w:eastAsia="仿宋_GB2312"/>
                <w:sz w:val="24"/>
                <w:szCs w:val="24"/>
                <w:lang w:val="en-US" w:eastAsia="zh-CN"/>
              </w:rPr>
              <w:t>6</w:t>
            </w:r>
            <w:r>
              <w:rPr>
                <w:rFonts w:hint="eastAsia" w:ascii="仿宋_GB2312" w:hAnsi="黑体" w:eastAsia="仿宋_GB2312"/>
                <w:sz w:val="24"/>
                <w:szCs w:val="24"/>
                <w:lang w:val="zh-TW" w:eastAsia="zh-CN"/>
              </w:rPr>
              <w:t>分；项目服务方案内容一般的评价为中得</w:t>
            </w:r>
            <w:r>
              <w:rPr>
                <w:rFonts w:hint="eastAsia" w:ascii="仿宋_GB2312" w:hAnsi="黑体" w:eastAsia="仿宋_GB2312"/>
                <w:sz w:val="24"/>
                <w:szCs w:val="24"/>
                <w:lang w:val="en-US" w:eastAsia="zh-CN"/>
              </w:rPr>
              <w:t>4</w:t>
            </w:r>
            <w:r>
              <w:rPr>
                <w:rFonts w:hint="eastAsia" w:ascii="仿宋_GB2312" w:hAnsi="黑体" w:eastAsia="仿宋_GB2312"/>
                <w:sz w:val="24"/>
                <w:szCs w:val="24"/>
                <w:lang w:val="zh-TW" w:eastAsia="zh-CN"/>
              </w:rPr>
              <w:t>分；项目服务方案内容不够具科学合理的评价为差不得分。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5）项目服务方案</w:t>
            </w:r>
            <w:r>
              <w:rPr>
                <w:rFonts w:hint="eastAsia" w:ascii="仿宋_GB2312" w:hAnsi="黑体" w:eastAsia="仿宋_GB2312"/>
                <w:sz w:val="24"/>
                <w:szCs w:val="24"/>
                <w:u w:val="single"/>
                <w:lang w:val="zh-TW" w:eastAsia="zh-CN"/>
              </w:rPr>
              <w:t>内容可操作性强</w:t>
            </w:r>
            <w:r>
              <w:rPr>
                <w:rFonts w:hint="eastAsia" w:ascii="仿宋_GB2312" w:hAnsi="黑体" w:eastAsia="仿宋_GB2312"/>
                <w:sz w:val="24"/>
                <w:szCs w:val="24"/>
                <w:lang w:val="zh-TW" w:eastAsia="zh-CN"/>
              </w:rPr>
              <w:t>（方案需有评价指标、评定标准）的评价为优得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分；项目服务方案内容可操作性较强的评价为良得</w:t>
            </w:r>
            <w:r>
              <w:rPr>
                <w:rFonts w:hint="eastAsia" w:ascii="仿宋_GB2312" w:hAnsi="黑体" w:eastAsia="仿宋_GB2312"/>
                <w:sz w:val="24"/>
                <w:szCs w:val="24"/>
                <w:lang w:val="en-US" w:eastAsia="zh-CN"/>
              </w:rPr>
              <w:t>6</w:t>
            </w:r>
            <w:r>
              <w:rPr>
                <w:rFonts w:hint="eastAsia" w:ascii="仿宋_GB2312" w:hAnsi="黑体" w:eastAsia="仿宋_GB2312"/>
                <w:sz w:val="24"/>
                <w:szCs w:val="24"/>
                <w:lang w:val="zh-TW" w:eastAsia="zh-CN"/>
              </w:rPr>
              <w:t>分；项目服务方案内容可操作性一般的评价为中得</w:t>
            </w:r>
            <w:r>
              <w:rPr>
                <w:rFonts w:hint="eastAsia" w:ascii="仿宋_GB2312" w:hAnsi="黑体" w:eastAsia="仿宋_GB2312"/>
                <w:sz w:val="24"/>
                <w:szCs w:val="24"/>
                <w:lang w:val="en-US" w:eastAsia="zh-CN"/>
              </w:rPr>
              <w:t>4</w:t>
            </w:r>
            <w:r>
              <w:rPr>
                <w:rFonts w:hint="eastAsia" w:ascii="仿宋_GB2312" w:hAnsi="黑体" w:eastAsia="仿宋_GB2312"/>
                <w:sz w:val="24"/>
                <w:szCs w:val="24"/>
                <w:lang w:val="zh-TW" w:eastAsia="zh-CN"/>
              </w:rPr>
              <w:t>分；项目服务方案内容可操作性较弱的评价为差不得分。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zh-TW" w:eastAsia="zh-CN"/>
              </w:rPr>
              <w:t>2、证明文件：</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8"/>
                <w:szCs w:val="28"/>
              </w:rPr>
            </w:pPr>
            <w:r>
              <w:rPr>
                <w:rFonts w:hint="eastAsia" w:ascii="仿宋_GB2312" w:hAnsi="黑体" w:eastAsia="仿宋_GB2312"/>
                <w:sz w:val="24"/>
                <w:szCs w:val="24"/>
                <w:lang w:val="zh-TW" w:eastAsia="zh-CN"/>
              </w:rPr>
              <w:t>须提供项目服务方案，评分中出现无证明资料或专家无法凭所提供资料判断是否得分的情况，一律作不得分处理。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trPr>
        <w:tc>
          <w:tcPr>
            <w:tcW w:w="817"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4</w:t>
            </w:r>
          </w:p>
        </w:tc>
        <w:tc>
          <w:tcPr>
            <w:tcW w:w="130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服务</w:t>
            </w: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网点</w:t>
            </w:r>
          </w:p>
        </w:tc>
        <w:tc>
          <w:tcPr>
            <w:tcW w:w="840" w:type="dxa"/>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10</w:t>
            </w:r>
          </w:p>
        </w:tc>
        <w:tc>
          <w:tcPr>
            <w:tcW w:w="64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zh-TW" w:eastAsia="zh-CN"/>
              </w:rPr>
              <w:t>1、评审标准：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lang w:val="zh-TW" w:eastAsia="zh-CN"/>
              </w:rPr>
            </w:pPr>
            <w:r>
              <w:rPr>
                <w:rFonts w:hint="eastAsia" w:ascii="仿宋_GB2312" w:hAnsi="黑体" w:eastAsia="仿宋_GB2312"/>
                <w:sz w:val="24"/>
                <w:szCs w:val="24"/>
                <w:lang w:val="zh-TW" w:eastAsia="zh-CN"/>
              </w:rPr>
              <w:t>深圳供应商，或非深圳供应商但在深圳有合法注册的分公司（分公司的必须提供分公司营业执照扫描件）的得</w:t>
            </w:r>
            <w:r>
              <w:rPr>
                <w:rFonts w:hint="eastAsia" w:ascii="仿宋_GB2312" w:hAnsi="黑体" w:eastAsia="仿宋_GB2312"/>
                <w:sz w:val="24"/>
                <w:szCs w:val="24"/>
                <w:lang w:val="en-US" w:eastAsia="zh-CN"/>
              </w:rPr>
              <w:t>10</w:t>
            </w:r>
            <w:r>
              <w:rPr>
                <w:rFonts w:hint="eastAsia" w:ascii="仿宋_GB2312" w:hAnsi="黑体" w:eastAsia="仿宋_GB2312"/>
                <w:sz w:val="24"/>
                <w:szCs w:val="24"/>
                <w:lang w:val="zh-TW" w:eastAsia="zh-CN"/>
              </w:rPr>
              <w:t>分。</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b/>
                <w:bCs/>
                <w:sz w:val="24"/>
                <w:szCs w:val="24"/>
                <w:lang w:val="zh-TW" w:eastAsia="zh-CN"/>
              </w:rPr>
            </w:pPr>
            <w:r>
              <w:rPr>
                <w:rFonts w:hint="eastAsia" w:ascii="仿宋_GB2312" w:hAnsi="黑体" w:eastAsia="仿宋_GB2312"/>
                <w:b/>
                <w:bCs/>
                <w:sz w:val="24"/>
                <w:szCs w:val="24"/>
                <w:lang w:val="zh-TW" w:eastAsia="zh-CN"/>
              </w:rPr>
              <w:t>2、证明文件：</w:t>
            </w:r>
          </w:p>
          <w:p>
            <w:pPr>
              <w:keepNext w:val="0"/>
              <w:keepLines w:val="0"/>
              <w:pageBreakBefore w:val="0"/>
              <w:widowControl w:val="0"/>
              <w:kinsoku/>
              <w:wordWrap/>
              <w:overflowPunct/>
              <w:topLinePunct w:val="0"/>
              <w:autoSpaceDE/>
              <w:autoSpaceDN/>
              <w:bidi w:val="0"/>
              <w:adjustRightInd/>
              <w:snapToGrid w:val="0"/>
              <w:spacing w:after="0" w:line="400" w:lineRule="exact"/>
              <w:textAlignment w:val="auto"/>
              <w:outlineLvl w:val="9"/>
              <w:rPr>
                <w:rFonts w:hint="eastAsia" w:ascii="仿宋_GB2312" w:hAnsi="黑体" w:eastAsia="仿宋_GB2312"/>
                <w:sz w:val="24"/>
                <w:szCs w:val="24"/>
                <w:shd w:val="clear" w:color="FFFFFF" w:fill="D9D9D9"/>
                <w:lang w:val="zh-TW" w:eastAsia="zh-CN"/>
              </w:rPr>
            </w:pPr>
            <w:r>
              <w:rPr>
                <w:rFonts w:hint="eastAsia" w:ascii="仿宋_GB2312" w:hAnsi="黑体" w:eastAsia="仿宋_GB2312"/>
                <w:sz w:val="24"/>
                <w:szCs w:val="24"/>
                <w:lang w:val="zh-TW" w:eastAsia="zh-CN"/>
              </w:rPr>
              <w:t>须提供营业执照或房产证明（产权人须是投标人）或租赁合同（承租人须是投标人），评分中出现无证明资料或专家无法凭所提供资料判断是否得分的情况，一律作不得分处理。</w:t>
            </w:r>
          </w:p>
        </w:tc>
      </w:tr>
    </w:tbl>
    <w:p>
      <w:pPr>
        <w:keepNext w:val="0"/>
        <w:keepLines w:val="0"/>
        <w:pageBreakBefore w:val="0"/>
        <w:kinsoku/>
        <w:overflowPunct/>
        <w:topLinePunct w:val="0"/>
        <w:bidi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kinsoku/>
        <w:overflowPunct/>
        <w:topLinePunct w:val="0"/>
        <w:bidi w:val="0"/>
        <w:spacing w:line="560" w:lineRule="exact"/>
        <w:jc w:val="both"/>
        <w:textAlignment w:val="auto"/>
        <w:rPr>
          <w:rFonts w:hint="eastAsia" w:ascii="黑体" w:hAnsi="黑体" w:eastAsia="黑体" w:cs="黑体"/>
          <w:sz w:val="44"/>
          <w:szCs w:val="44"/>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kinsoku/>
        <w:wordWrap/>
        <w:overflowPunct/>
        <w:topLinePunct w:val="0"/>
        <w:autoSpaceDE w:val="0"/>
        <w:autoSpaceDN w:val="0"/>
        <w:bidi w:val="0"/>
        <w:adjustRightInd w:val="0"/>
        <w:snapToGrid w:val="0"/>
        <w:spacing w:after="0" w:line="560" w:lineRule="exact"/>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sz w:val="44"/>
          <w:szCs w:val="44"/>
        </w:rPr>
        <w:t>投标函</w:t>
      </w:r>
    </w:p>
    <w:p>
      <w:pPr>
        <w:keepNext w:val="0"/>
        <w:keepLines w:val="0"/>
        <w:pageBreakBefore w:val="0"/>
        <w:widowControl/>
        <w:kinsoku/>
        <w:wordWrap/>
        <w:overflowPunct/>
        <w:topLinePunct w:val="0"/>
        <w:bidi w:val="0"/>
        <w:adjustRightInd w:val="0"/>
        <w:snapToGrid w:val="0"/>
        <w:spacing w:after="0" w:line="560" w:lineRule="exact"/>
        <w:textAlignment w:val="auto"/>
        <w:outlineLvl w:val="9"/>
        <w:rPr>
          <w:rFonts w:ascii="仿宋_GB2312" w:hAnsi="宋体" w:eastAsia="仿宋_GB2312"/>
          <w:kern w:val="0"/>
          <w:sz w:val="32"/>
          <w:szCs w:val="32"/>
        </w:rPr>
      </w:pPr>
      <w:r>
        <w:rPr>
          <w:rFonts w:hint="eastAsia" w:ascii="仿宋_GB2312" w:hAnsi="宋体" w:eastAsia="仿宋_GB2312"/>
          <w:kern w:val="0"/>
          <w:sz w:val="32"/>
          <w:szCs w:val="32"/>
        </w:rPr>
        <w:t>致</w:t>
      </w:r>
      <w:r>
        <w:rPr>
          <w:rFonts w:ascii="仿宋_GB2312" w:hAnsi="宋体" w:eastAsia="仿宋_GB2312"/>
          <w:kern w:val="0"/>
          <w:sz w:val="32"/>
          <w:szCs w:val="32"/>
          <w:u w:val="single"/>
        </w:rPr>
        <w:t xml:space="preserve">      （招标人名称）          </w:t>
      </w:r>
      <w:r>
        <w:rPr>
          <w:rFonts w:hint="eastAsia" w:ascii="仿宋_GB2312" w:hAnsi="宋体" w:eastAsia="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根据已收到贵方的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none"/>
          <w:lang w:val="en" w:eastAsia="zh-CN"/>
        </w:rPr>
        <w:t>坪山区产业公共服务平台运作绩效评价项目</w:t>
      </w:r>
      <w:r>
        <w:rPr>
          <w:rFonts w:hint="eastAsia" w:ascii="仿宋_GB2312" w:hAnsi="仿宋_GB2312" w:eastAsia="仿宋_GB2312" w:cs="仿宋_GB2312"/>
          <w:b/>
          <w:bCs/>
          <w:sz w:val="32"/>
          <w:szCs w:val="32"/>
          <w:u w:val="none"/>
          <w:lang w:eastAsia="zh-CN"/>
        </w:rPr>
        <w:t>招标方案》</w:t>
      </w:r>
      <w:r>
        <w:rPr>
          <w:rFonts w:hint="eastAsia" w:ascii="仿宋_GB2312" w:hAnsi="仿宋_GB2312" w:eastAsia="仿宋_GB2312" w:cs="仿宋_GB2312"/>
          <w:sz w:val="32"/>
          <w:szCs w:val="32"/>
        </w:rPr>
        <w:t>，我单位经研究上述招标文件后，我方愿以招标文件前附表规定的标准，接受贵方招标文件所提出的任务要求。</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我方同意并接受招标文件的各项要求，包括澄清、修改、补充文件（如有时）及有关附件，对招标文件的要求完全理解。遵守招标文件中的各项规定，按招标文件的要求投标，提供相应投标文件（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套正本，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套副本）。</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我方保证按招标文件的要求，理性报价，不以低于成本的报价竞标。</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我方认同招标文件规定的评审规则，遵守评标委员会的裁决结果，并且不会采取妨碍项目进展的行为，同时清楚理解到参与投标并非意味着必定获得成交资格。</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同意所递交的投标文件在招标文件规定的投标有效期限内有效，在此期间内我方的投标有可能中标，我方将受此约束。若我单位成为中标候选人，投标有效期延长至项目验收之日。如果在投标有效期内撤回投标或放弃中标资格，我方自行承担相应后果。</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我方中标，我方保证按照招标文件规定的时间完成任务，保证严格执行与招标人签署的</w:t>
      </w:r>
      <w:r>
        <w:rPr>
          <w:rFonts w:hint="eastAsia" w:ascii="仿宋_GB2312" w:hAnsi="仿宋_GB2312" w:eastAsia="仿宋_GB2312" w:cs="仿宋_GB2312"/>
          <w:sz w:val="32"/>
          <w:szCs w:val="32"/>
          <w:lang w:eastAsia="zh-CN"/>
        </w:rPr>
        <w:t>服务合同</w:t>
      </w:r>
      <w:r>
        <w:rPr>
          <w:rFonts w:hint="eastAsia" w:ascii="仿宋_GB2312" w:hAnsi="仿宋_GB2312" w:eastAsia="仿宋_GB2312" w:cs="仿宋_GB2312"/>
          <w:sz w:val="32"/>
          <w:szCs w:val="32"/>
        </w:rPr>
        <w:t>，履行相应责任和义务。</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我方承诺在本次投标中提供的一切文件，无论是原件还是复印件均为真实和准确的，绝无任何虚假、伪造和夸大的成份。若评定标过程中查有虚假，同意作无效或废标处理；若中标之后查有虚假，同意被废除授标。我方愿承担相应的后果和法律责任。</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在正式合同签署并生效之前，贵方的中标通知书和本投标函将成为约束双方的合同文件的组成部分。</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与本投标响应有关的一切正式往来通讯请寄：</w:t>
      </w: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仿宋_GB2312" w:eastAsia="仿宋_GB2312" w:cs="仿宋_GB2312"/>
          <w:sz w:val="32"/>
          <w:szCs w:val="32"/>
        </w:rPr>
      </w:pPr>
    </w:p>
    <w:p>
      <w:pPr>
        <w:keepNext w:val="0"/>
        <w:keepLines w:val="0"/>
        <w:pageBreakBefore w:val="0"/>
        <w:widowControl/>
        <w:kinsoku/>
        <w:wordWrap/>
        <w:overflowPunct/>
        <w:topLinePunct w:val="0"/>
        <w:bidi w:val="0"/>
        <w:adjustRightInd w:val="0"/>
        <w:snapToGrid w:val="0"/>
        <w:spacing w:after="0" w:line="560" w:lineRule="exact"/>
        <w:ind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地址：</w:t>
      </w:r>
      <w:r>
        <w:rPr>
          <w:rFonts w:ascii="仿宋_GB2312" w:hAnsi="宋体" w:eastAsia="仿宋_GB2312"/>
          <w:sz w:val="32"/>
          <w:szCs w:val="32"/>
          <w:u w:val="single"/>
        </w:rPr>
        <w:t xml:space="preserve">                           </w:t>
      </w:r>
      <w:r>
        <w:rPr>
          <w:rFonts w:ascii="仿宋_GB2312" w:hAnsi="宋体" w:eastAsia="仿宋_GB2312"/>
          <w:sz w:val="32"/>
          <w:szCs w:val="32"/>
        </w:rPr>
        <w:t xml:space="preserve"> 邮编</w:t>
      </w:r>
      <w:r>
        <w:rPr>
          <w:rFonts w:hint="eastAsia" w:ascii="仿宋_GB2312" w:hAnsi="宋体" w:eastAsia="仿宋_GB2312"/>
          <w:sz w:val="32"/>
          <w:szCs w:val="32"/>
          <w:u w:val="single"/>
        </w:rPr>
        <w:t>：</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pPr>
        <w:keepNext w:val="0"/>
        <w:keepLines w:val="0"/>
        <w:pageBreakBefore w:val="0"/>
        <w:widowControl/>
        <w:kinsoku/>
        <w:wordWrap/>
        <w:overflowPunct/>
        <w:topLinePunct w:val="0"/>
        <w:bidi w:val="0"/>
        <w:adjustRightInd w:val="0"/>
        <w:snapToGrid w:val="0"/>
        <w:spacing w:after="0" w:line="560" w:lineRule="exact"/>
        <w:ind w:left="360" w:hanging="360"/>
        <w:textAlignment w:val="auto"/>
        <w:outlineLvl w:val="9"/>
        <w:rPr>
          <w:rFonts w:ascii="仿宋_GB2312" w:hAnsi="宋体" w:eastAsia="仿宋_GB2312"/>
          <w:sz w:val="32"/>
          <w:szCs w:val="32"/>
        </w:rPr>
      </w:pPr>
      <w:r>
        <w:rPr>
          <w:rFonts w:ascii="仿宋_GB2312" w:hAnsi="宋体" w:eastAsia="仿宋_GB2312"/>
          <w:sz w:val="32"/>
          <w:szCs w:val="32"/>
        </w:rPr>
        <w:t xml:space="preserve">    联系人：</w:t>
      </w:r>
      <w:r>
        <w:rPr>
          <w:rFonts w:ascii="仿宋_GB2312" w:hAnsi="宋体" w:eastAsia="仿宋_GB2312"/>
          <w:sz w:val="32"/>
          <w:szCs w:val="32"/>
          <w:u w:val="single"/>
        </w:rPr>
        <w:t xml:space="preserve">                </w:t>
      </w:r>
      <w:r>
        <w:rPr>
          <w:rFonts w:ascii="仿宋_GB2312" w:hAnsi="宋体" w:eastAsia="仿宋_GB2312"/>
          <w:sz w:val="32"/>
          <w:szCs w:val="32"/>
        </w:rPr>
        <w:t xml:space="preserve"> 电话：</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pPr>
        <w:keepNext w:val="0"/>
        <w:keepLines w:val="0"/>
        <w:pageBreakBefore w:val="0"/>
        <w:widowControl/>
        <w:kinsoku/>
        <w:wordWrap/>
        <w:overflowPunct/>
        <w:topLinePunct w:val="0"/>
        <w:bidi w:val="0"/>
        <w:adjustRightInd w:val="0"/>
        <w:snapToGrid w:val="0"/>
        <w:spacing w:after="0" w:line="560" w:lineRule="exact"/>
        <w:ind w:left="360" w:hanging="360"/>
        <w:textAlignment w:val="auto"/>
        <w:outlineLvl w:val="9"/>
        <w:rPr>
          <w:rFonts w:ascii="仿宋_GB2312" w:hAnsi="宋体" w:eastAsia="仿宋_GB2312"/>
          <w:sz w:val="32"/>
          <w:szCs w:val="32"/>
        </w:rPr>
      </w:pPr>
      <w:r>
        <w:rPr>
          <w:rFonts w:ascii="仿宋_GB2312" w:hAnsi="宋体" w:eastAsia="仿宋_GB2312"/>
          <w:sz w:val="32"/>
          <w:szCs w:val="32"/>
        </w:rPr>
        <w:t xml:space="preserve">    投标人全称：</w:t>
      </w:r>
      <w:r>
        <w:rPr>
          <w:rFonts w:ascii="仿宋_GB2312" w:hAnsi="宋体" w:eastAsia="仿宋_GB2312"/>
          <w:sz w:val="32"/>
          <w:szCs w:val="32"/>
          <w:u w:val="single"/>
        </w:rPr>
        <w:t xml:space="preserve">                            </w:t>
      </w:r>
      <w:r>
        <w:rPr>
          <w:rFonts w:ascii="仿宋_GB2312" w:hAnsi="宋体" w:eastAsia="仿宋_GB2312"/>
          <w:sz w:val="32"/>
          <w:szCs w:val="32"/>
        </w:rPr>
        <w:t xml:space="preserve"> （盖公章）</w:t>
      </w:r>
    </w:p>
    <w:p>
      <w:pPr>
        <w:keepNext w:val="0"/>
        <w:keepLines w:val="0"/>
        <w:pageBreakBefore w:val="0"/>
        <w:widowControl/>
        <w:kinsoku/>
        <w:wordWrap/>
        <w:overflowPunct/>
        <w:topLinePunct w:val="0"/>
        <w:bidi w:val="0"/>
        <w:adjustRightInd w:val="0"/>
        <w:snapToGrid w:val="0"/>
        <w:spacing w:after="0" w:line="560" w:lineRule="exact"/>
        <w:ind w:left="360" w:hanging="360"/>
        <w:textAlignment w:val="auto"/>
        <w:outlineLvl w:val="9"/>
        <w:rPr>
          <w:rFonts w:ascii="仿宋_GB2312" w:hAnsi="宋体" w:eastAsia="仿宋_GB2312"/>
          <w:sz w:val="32"/>
          <w:szCs w:val="32"/>
          <w:u w:val="single"/>
        </w:rPr>
      </w:pPr>
      <w:r>
        <w:rPr>
          <w:rFonts w:ascii="仿宋_GB2312" w:hAnsi="宋体" w:eastAsia="仿宋_GB2312"/>
          <w:sz w:val="32"/>
          <w:szCs w:val="32"/>
        </w:rPr>
        <w:t xml:space="preserve">    法定代表人（或负责人）或授权代表（签字）：</w:t>
      </w:r>
      <w:r>
        <w:rPr>
          <w:rFonts w:ascii="仿宋_GB2312" w:hAnsi="宋体" w:eastAsia="仿宋_GB2312"/>
          <w:sz w:val="32"/>
          <w:szCs w:val="32"/>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方正小标宋简体" w:hAnsi="黑体" w:eastAsia="方正小标宋简体" w:cs="黑体"/>
          <w:sz w:val="44"/>
          <w:szCs w:val="44"/>
          <w:lang w:eastAsia="zh-CN"/>
        </w:rPr>
      </w:pPr>
      <w:r>
        <w:rPr>
          <w:rFonts w:hint="eastAsia" w:ascii="仿宋_GB2312" w:hAnsi="宋体" w:eastAsia="仿宋_GB2312"/>
          <w:sz w:val="32"/>
          <w:szCs w:val="32"/>
        </w:rPr>
        <w:t>日期：</w:t>
      </w:r>
      <w:r>
        <w:rPr>
          <w:rFonts w:ascii="仿宋_GB2312" w:hAnsi="宋体" w:eastAsia="仿宋_GB2312"/>
          <w:sz w:val="32"/>
          <w:szCs w:val="32"/>
          <w:u w:val="single"/>
        </w:rPr>
        <w:t xml:space="preserve">     </w:t>
      </w:r>
      <w:r>
        <w:rPr>
          <w:rFonts w:ascii="仿宋_GB2312" w:hAnsi="宋体" w:eastAsia="仿宋_GB2312"/>
          <w:sz w:val="32"/>
          <w:szCs w:val="32"/>
        </w:rPr>
        <w:t xml:space="preserve"> 年</w:t>
      </w:r>
      <w:r>
        <w:rPr>
          <w:rFonts w:ascii="仿宋_GB2312" w:hAnsi="宋体" w:eastAsia="仿宋_GB2312"/>
          <w:sz w:val="32"/>
          <w:szCs w:val="32"/>
          <w:u w:val="single"/>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日</w:t>
      </w:r>
    </w:p>
    <w:p>
      <w:pPr>
        <w:keepNext w:val="0"/>
        <w:keepLines w:val="0"/>
        <w:pageBreakBefore w:val="0"/>
        <w:kinsoku/>
        <w:wordWrap/>
        <w:overflowPunct/>
        <w:topLinePunct w:val="0"/>
        <w:autoSpaceDE/>
        <w:autoSpaceDN/>
        <w:bidi w:val="0"/>
        <w:spacing w:after="0" w:line="560" w:lineRule="exact"/>
        <w:ind w:firstLine="640"/>
        <w:jc w:val="center"/>
        <w:textAlignment w:val="auto"/>
        <w:rPr>
          <w:rFonts w:hint="eastAsia" w:ascii="方正小标宋简体" w:hAnsi="黑体" w:eastAsia="方正小标宋简体" w:cs="黑体"/>
          <w:sz w:val="44"/>
          <w:szCs w:val="44"/>
        </w:rPr>
      </w:pPr>
    </w:p>
    <w:p>
      <w:pPr>
        <w:keepNext w:val="0"/>
        <w:keepLines w:val="0"/>
        <w:pageBreakBefore w:val="0"/>
        <w:kinsoku/>
        <w:overflowPunct/>
        <w:topLinePunct w:val="0"/>
        <w:bidi w:val="0"/>
        <w:spacing w:line="560" w:lineRule="exact"/>
        <w:textAlignment w:val="auto"/>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br w:type="page"/>
      </w:r>
    </w:p>
    <w:p>
      <w:pPr>
        <w:keepNext w:val="0"/>
        <w:keepLines w:val="0"/>
        <w:pageBreakBefore w:val="0"/>
        <w:widowControl/>
        <w:kinsoku/>
        <w:wordWrap/>
        <w:overflowPunct/>
        <w:topLinePunct w:val="0"/>
        <w:bidi w:val="0"/>
        <w:spacing w:after="0" w:line="560" w:lineRule="exact"/>
        <w:jc w:val="left"/>
        <w:textAlignment w:val="auto"/>
        <w:rPr>
          <w:rFonts w:hint="eastAsia" w:ascii="黑体" w:hAnsi="黑体" w:eastAsia="黑体" w:cs="黑体"/>
          <w:bCs/>
          <w:sz w:val="32"/>
          <w:szCs w:val="32"/>
          <w:lang w:val="en-US"/>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keepNext w:val="0"/>
        <w:keepLines w:val="0"/>
        <w:pageBreakBefore w:val="0"/>
        <w:kinsoku/>
        <w:wordWrap/>
        <w:overflowPunct/>
        <w:topLinePunct w:val="0"/>
        <w:autoSpaceDE w:val="0"/>
        <w:autoSpaceDN w:val="0"/>
        <w:bidi w:val="0"/>
        <w:adjustRightInd w:val="0"/>
        <w:spacing w:after="0" w:line="560" w:lineRule="exact"/>
        <w:ind w:left="333" w:leftChars="-342" w:hanging="1051" w:hangingChars="239"/>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报价函</w:t>
      </w:r>
    </w:p>
    <w:p>
      <w:pPr>
        <w:keepNext w:val="0"/>
        <w:keepLines w:val="0"/>
        <w:pageBreakBefore w:val="0"/>
        <w:kinsoku/>
        <w:wordWrap/>
        <w:overflowPunct/>
        <w:topLinePunct w:val="0"/>
        <w:bidi w:val="0"/>
        <w:spacing w:after="0"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after="0" w:line="560" w:lineRule="exact"/>
        <w:textAlignment w:val="auto"/>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致：深圳市坪山区人民代表大会常务委员会办公室</w:t>
      </w: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经分析研究贵方提供的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none"/>
          <w:lang w:val="en" w:eastAsia="zh-CN"/>
        </w:rPr>
        <w:t>坪山区产业公共服务平台运作绩效评价项目</w:t>
      </w:r>
      <w:r>
        <w:rPr>
          <w:rFonts w:hint="eastAsia" w:ascii="仿宋_GB2312" w:hAnsi="仿宋_GB2312" w:eastAsia="仿宋_GB2312" w:cs="仿宋_GB2312"/>
          <w:b/>
          <w:bCs/>
          <w:sz w:val="32"/>
          <w:szCs w:val="32"/>
          <w:u w:val="none"/>
          <w:lang w:eastAsia="zh-CN"/>
        </w:rPr>
        <w:t>招标方案》</w:t>
      </w:r>
      <w:r>
        <w:rPr>
          <w:rFonts w:hint="eastAsia" w:ascii="仿宋_GB2312" w:hAnsi="仿宋_GB2312" w:eastAsia="仿宋_GB2312" w:cs="仿宋_GB2312"/>
          <w:sz w:val="32"/>
          <w:szCs w:val="32"/>
        </w:rPr>
        <w:t>，我方愿意按照以下报价并按邀请文件的要求</w:t>
      </w:r>
      <w:r>
        <w:rPr>
          <w:rFonts w:hint="eastAsia" w:ascii="仿宋_GB2312" w:hAnsi="仿宋_GB2312" w:eastAsia="仿宋_GB2312" w:cs="仿宋_GB2312"/>
          <w:sz w:val="32"/>
          <w:szCs w:val="32"/>
          <w:lang w:eastAsia="zh-CN"/>
        </w:rPr>
        <w:t>完成相关工作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p>
    <w:tbl>
      <w:tblPr>
        <w:tblStyle w:val="8"/>
        <w:tblW w:w="8220" w:type="dxa"/>
        <w:tblInd w:w="133" w:type="dxa"/>
        <w:tblLayout w:type="fixed"/>
        <w:tblCellMar>
          <w:top w:w="0" w:type="dxa"/>
          <w:left w:w="30" w:type="dxa"/>
          <w:bottom w:w="0" w:type="dxa"/>
          <w:right w:w="30" w:type="dxa"/>
        </w:tblCellMar>
      </w:tblPr>
      <w:tblGrid>
        <w:gridCol w:w="5644"/>
        <w:gridCol w:w="2576"/>
      </w:tblGrid>
      <w:tr>
        <w:tblPrEx>
          <w:tblCellMar>
            <w:top w:w="0" w:type="dxa"/>
            <w:left w:w="30" w:type="dxa"/>
            <w:bottom w:w="0" w:type="dxa"/>
            <w:right w:w="30" w:type="dxa"/>
          </w:tblCellMar>
        </w:tblPrEx>
        <w:trPr>
          <w:cantSplit/>
          <w:trHeight w:val="639" w:hRule="atLeast"/>
        </w:trPr>
        <w:tc>
          <w:tcPr>
            <w:tcW w:w="5644" w:type="dxa"/>
            <w:tcBorders>
              <w:top w:val="single" w:color="auto" w:sz="4" w:space="0"/>
              <w:left w:val="single" w:color="auto" w:sz="4" w:space="0"/>
              <w:bottom w:val="nil"/>
              <w:right w:val="single" w:color="auto" w:sz="6" w:space="0"/>
            </w:tcBorders>
            <w:vAlign w:val="center"/>
          </w:tcPr>
          <w:p>
            <w:pPr>
              <w:keepNext w:val="0"/>
              <w:keepLines w:val="0"/>
              <w:pageBreakBefore w:val="0"/>
              <w:kinsoku/>
              <w:wordWrap/>
              <w:overflowPunct/>
              <w:topLinePunct w:val="0"/>
              <w:bidi w:val="0"/>
              <w:spacing w:after="0"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p>
        </w:tc>
        <w:tc>
          <w:tcPr>
            <w:tcW w:w="2576"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after="0"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r>
      <w:tr>
        <w:tblPrEx>
          <w:tblCellMar>
            <w:top w:w="0" w:type="dxa"/>
            <w:left w:w="30" w:type="dxa"/>
            <w:bottom w:w="0" w:type="dxa"/>
            <w:right w:w="30" w:type="dxa"/>
          </w:tblCellMar>
        </w:tblPrEx>
        <w:trPr>
          <w:cantSplit/>
          <w:trHeight w:val="995" w:hRule="atLeast"/>
        </w:trPr>
        <w:tc>
          <w:tcPr>
            <w:tcW w:w="5644"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pacing w:after="0" w:line="560" w:lineRule="exact"/>
              <w:jc w:val="center"/>
              <w:textAlignment w:val="auto"/>
            </w:pPr>
            <w:r>
              <w:rPr>
                <w:rFonts w:hint="eastAsia" w:ascii="仿宋_GB2312" w:hAnsi="仿宋_GB2312" w:eastAsia="仿宋_GB2312" w:cs="仿宋_GB2312"/>
                <w:b w:val="0"/>
                <w:bCs w:val="0"/>
                <w:sz w:val="32"/>
                <w:szCs w:val="32"/>
                <w:u w:val="none"/>
                <w:lang w:val="en" w:eastAsia="zh-CN"/>
              </w:rPr>
              <w:t>坪山区产业公共服务平台运作绩效评价项目</w:t>
            </w:r>
            <w:r>
              <w:rPr>
                <w:rFonts w:hint="eastAsia" w:ascii="仿宋_GB2312" w:hAnsi="仿宋_GB2312" w:eastAsia="仿宋_GB2312" w:cs="仿宋_GB2312"/>
                <w:b w:val="0"/>
                <w:bCs w:val="0"/>
                <w:sz w:val="32"/>
                <w:szCs w:val="32"/>
                <w:u w:val="none"/>
                <w:lang w:eastAsia="zh-CN"/>
              </w:rPr>
              <w:t>招标方案</w:t>
            </w:r>
          </w:p>
        </w:tc>
        <w:tc>
          <w:tcPr>
            <w:tcW w:w="2576"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kinsoku/>
              <w:wordWrap/>
              <w:overflowPunct/>
              <w:topLinePunct w:val="0"/>
              <w:bidi w:val="0"/>
              <w:spacing w:after="0" w:line="560" w:lineRule="exact"/>
              <w:textAlignment w:val="auto"/>
              <w:rPr>
                <w:rFonts w:ascii="仿宋_GB2312" w:hAnsi="仿宋_GB2312" w:eastAsia="仿宋_GB2312" w:cs="仿宋_GB2312"/>
                <w:sz w:val="32"/>
                <w:szCs w:val="32"/>
              </w:rPr>
            </w:pPr>
          </w:p>
        </w:tc>
      </w:tr>
    </w:tbl>
    <w:p>
      <w:pPr>
        <w:keepNext w:val="0"/>
        <w:keepLines w:val="0"/>
        <w:pageBreakBefore w:val="0"/>
        <w:kinsoku/>
        <w:wordWrap/>
        <w:overflowPunct/>
        <w:topLinePunct w:val="0"/>
        <w:bidi w:val="0"/>
        <w:spacing w:after="0" w:line="560" w:lineRule="exact"/>
        <w:textAlignment w:val="auto"/>
        <w:rPr>
          <w:rFonts w:ascii="宋体"/>
          <w:sz w:val="24"/>
          <w:szCs w:val="18"/>
        </w:rPr>
      </w:pP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如果贵方接受我方报价，我方保证在规定的期限，按照合同约定完成本项目的</w:t>
      </w:r>
      <w:r>
        <w:rPr>
          <w:rFonts w:hint="eastAsia" w:ascii="仿宋_GB2312" w:hAnsi="仿宋_GB2312" w:eastAsia="仿宋_GB2312" w:cs="仿宋_GB2312"/>
          <w:sz w:val="32"/>
          <w:szCs w:val="32"/>
          <w:lang w:eastAsia="zh-CN"/>
        </w:rPr>
        <w:t>相关工作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报价人（盖章）：</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报价人代表姓名（签字）：</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pPr>
        <w:keepNext w:val="0"/>
        <w:keepLines w:val="0"/>
        <w:pageBreakBefore w:val="0"/>
        <w:widowControl/>
        <w:kinsoku/>
        <w:wordWrap/>
        <w:overflowPunct/>
        <w:topLinePunct w:val="0"/>
        <w:bidi w:val="0"/>
        <w:spacing w:after="0" w:line="560" w:lineRule="exact"/>
        <w:jc w:val="left"/>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4</w:t>
      </w:r>
    </w:p>
    <w:p>
      <w:pPr>
        <w:pStyle w:val="2"/>
      </w:pPr>
      <w:r>
        <w:drawing>
          <wp:inline distT="0" distB="0" distL="114300" distR="114300">
            <wp:extent cx="5643245" cy="7412990"/>
            <wp:effectExtent l="0" t="0" r="14605" b="1651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rcRect l="7022" t="1464" r="6096"/>
                    <a:stretch>
                      <a:fillRect/>
                    </a:stretch>
                  </pic:blipFill>
                  <pic:spPr>
                    <a:xfrm>
                      <a:off x="0" y="0"/>
                      <a:ext cx="5643245" cy="7412990"/>
                    </a:xfrm>
                    <a:prstGeom prst="rect">
                      <a:avLst/>
                    </a:prstGeom>
                    <a:noFill/>
                    <a:ln>
                      <a:noFill/>
                    </a:ln>
                  </pic:spPr>
                </pic:pic>
              </a:graphicData>
            </a:graphic>
          </wp:inline>
        </w:drawing>
      </w:r>
    </w:p>
    <w:p>
      <w:pPr>
        <w:pStyle w:val="2"/>
      </w:pPr>
      <w:r>
        <w:drawing>
          <wp:inline distT="0" distB="0" distL="114300" distR="114300">
            <wp:extent cx="5660390" cy="7726680"/>
            <wp:effectExtent l="0" t="0" r="16510" b="7620"/>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6"/>
                    <a:srcRect l="4768" t="702" r="2421"/>
                    <a:stretch>
                      <a:fillRect/>
                    </a:stretch>
                  </pic:blipFill>
                  <pic:spPr>
                    <a:xfrm>
                      <a:off x="0" y="0"/>
                      <a:ext cx="5660390" cy="7726680"/>
                    </a:xfrm>
                    <a:prstGeom prst="rect">
                      <a:avLst/>
                    </a:prstGeom>
                    <a:noFill/>
                    <a:ln>
                      <a:noFill/>
                    </a:ln>
                  </pic:spPr>
                </pic:pic>
              </a:graphicData>
            </a:graphic>
          </wp:inline>
        </w:drawing>
      </w:r>
    </w:p>
    <w:p>
      <w:pPr>
        <w:pStyle w:val="2"/>
      </w:pPr>
      <w:r>
        <w:drawing>
          <wp:inline distT="0" distB="0" distL="114300" distR="114300">
            <wp:extent cx="5633720" cy="7896860"/>
            <wp:effectExtent l="0" t="0" r="5080" b="8890"/>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7"/>
                    <a:stretch>
                      <a:fillRect/>
                    </a:stretch>
                  </pic:blipFill>
                  <pic:spPr>
                    <a:xfrm>
                      <a:off x="0" y="0"/>
                      <a:ext cx="5633720" cy="7896860"/>
                    </a:xfrm>
                    <a:prstGeom prst="rect">
                      <a:avLst/>
                    </a:prstGeom>
                    <a:noFill/>
                    <a:ln>
                      <a:noFill/>
                    </a:ln>
                  </pic:spPr>
                </pic:pic>
              </a:graphicData>
            </a:graphic>
          </wp:inline>
        </w:drawing>
      </w:r>
    </w:p>
    <w:p>
      <w:pPr>
        <w:pStyle w:val="2"/>
        <w:rPr>
          <w:rFonts w:hint="eastAsia"/>
          <w:lang w:eastAsia="zh-CN"/>
        </w:rPr>
      </w:pPr>
      <w:r>
        <w:drawing>
          <wp:inline distT="0" distB="0" distL="114300" distR="114300">
            <wp:extent cx="5636260" cy="7242810"/>
            <wp:effectExtent l="0" t="0" r="2540" b="15240"/>
            <wp:docPr id="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true"/>
                    </pic:cNvPicPr>
                  </pic:nvPicPr>
                  <pic:blipFill>
                    <a:blip r:embed="rId8"/>
                    <a:stretch>
                      <a:fillRect/>
                    </a:stretch>
                  </pic:blipFill>
                  <pic:spPr>
                    <a:xfrm>
                      <a:off x="0" y="0"/>
                      <a:ext cx="5636260" cy="7242810"/>
                    </a:xfrm>
                    <a:prstGeom prst="rect">
                      <a:avLst/>
                    </a:prstGeom>
                    <a:noFill/>
                    <a:ln>
                      <a:noFill/>
                    </a:ln>
                  </pic:spPr>
                </pic:pic>
              </a:graphicData>
            </a:graphic>
          </wp:inline>
        </w:drawing>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EA26F"/>
    <w:multiLevelType w:val="singleLevel"/>
    <w:tmpl w:val="95BEA26F"/>
    <w:lvl w:ilvl="0" w:tentative="0">
      <w:start w:val="1"/>
      <w:numFmt w:val="chineseCounting"/>
      <w:suff w:val="nothing"/>
      <w:lvlText w:val="（%1）"/>
      <w:lvlJc w:val="left"/>
      <w:rPr>
        <w:rFonts w:hint="eastAsia"/>
      </w:rPr>
    </w:lvl>
  </w:abstractNum>
  <w:abstractNum w:abstractNumId="1">
    <w:nsid w:val="6139F35B"/>
    <w:multiLevelType w:val="singleLevel"/>
    <w:tmpl w:val="6139F35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91A50"/>
    <w:rsid w:val="010A37D5"/>
    <w:rsid w:val="01E25CCA"/>
    <w:rsid w:val="024C6250"/>
    <w:rsid w:val="02A21383"/>
    <w:rsid w:val="039D280E"/>
    <w:rsid w:val="048C6D83"/>
    <w:rsid w:val="068F4D09"/>
    <w:rsid w:val="081C0952"/>
    <w:rsid w:val="081E4A91"/>
    <w:rsid w:val="08A65259"/>
    <w:rsid w:val="08FB0E61"/>
    <w:rsid w:val="09073E89"/>
    <w:rsid w:val="0B126685"/>
    <w:rsid w:val="0B7B4EF4"/>
    <w:rsid w:val="0BD628EB"/>
    <w:rsid w:val="0C2467DB"/>
    <w:rsid w:val="0C6A45C9"/>
    <w:rsid w:val="0CC425D1"/>
    <w:rsid w:val="0D9E58E9"/>
    <w:rsid w:val="0EFA1D92"/>
    <w:rsid w:val="10863EC4"/>
    <w:rsid w:val="10F01529"/>
    <w:rsid w:val="110829D9"/>
    <w:rsid w:val="13A60507"/>
    <w:rsid w:val="13F07BA6"/>
    <w:rsid w:val="14056E3F"/>
    <w:rsid w:val="146E1BEF"/>
    <w:rsid w:val="14A271E4"/>
    <w:rsid w:val="15025DAE"/>
    <w:rsid w:val="154B236E"/>
    <w:rsid w:val="16B33440"/>
    <w:rsid w:val="17FFBBE5"/>
    <w:rsid w:val="196C6702"/>
    <w:rsid w:val="1B3B7E6C"/>
    <w:rsid w:val="1BDB6680"/>
    <w:rsid w:val="1C037873"/>
    <w:rsid w:val="1C262FBC"/>
    <w:rsid w:val="1E0C5833"/>
    <w:rsid w:val="1E7354F5"/>
    <w:rsid w:val="1EDF85FB"/>
    <w:rsid w:val="1FF16DF4"/>
    <w:rsid w:val="1FF82B76"/>
    <w:rsid w:val="20A8171D"/>
    <w:rsid w:val="20CF4C18"/>
    <w:rsid w:val="215D226B"/>
    <w:rsid w:val="217D754A"/>
    <w:rsid w:val="225C745E"/>
    <w:rsid w:val="23B7187A"/>
    <w:rsid w:val="24313A17"/>
    <w:rsid w:val="24810791"/>
    <w:rsid w:val="25361686"/>
    <w:rsid w:val="25980B98"/>
    <w:rsid w:val="26C01EDD"/>
    <w:rsid w:val="278113CB"/>
    <w:rsid w:val="27AF2C64"/>
    <w:rsid w:val="283A171A"/>
    <w:rsid w:val="29DD5AAF"/>
    <w:rsid w:val="2A7F2968"/>
    <w:rsid w:val="2A970AA5"/>
    <w:rsid w:val="2D1758A2"/>
    <w:rsid w:val="2EDF1717"/>
    <w:rsid w:val="2F0334F2"/>
    <w:rsid w:val="30056957"/>
    <w:rsid w:val="30056D63"/>
    <w:rsid w:val="309B6B2F"/>
    <w:rsid w:val="311B4932"/>
    <w:rsid w:val="318D5DEC"/>
    <w:rsid w:val="31D8690C"/>
    <w:rsid w:val="32ED74E6"/>
    <w:rsid w:val="33747473"/>
    <w:rsid w:val="33EF129D"/>
    <w:rsid w:val="33F54249"/>
    <w:rsid w:val="348973FA"/>
    <w:rsid w:val="34B23ED6"/>
    <w:rsid w:val="34C0369F"/>
    <w:rsid w:val="3555326E"/>
    <w:rsid w:val="36A55F4C"/>
    <w:rsid w:val="37D031A8"/>
    <w:rsid w:val="38723EBC"/>
    <w:rsid w:val="38E90DC6"/>
    <w:rsid w:val="39DD3497"/>
    <w:rsid w:val="3A0563AE"/>
    <w:rsid w:val="3AA30CD0"/>
    <w:rsid w:val="3BAC04AC"/>
    <w:rsid w:val="3C054B5F"/>
    <w:rsid w:val="3C2C6FE9"/>
    <w:rsid w:val="3C59653F"/>
    <w:rsid w:val="3C707F1C"/>
    <w:rsid w:val="3C8865F1"/>
    <w:rsid w:val="3CA420FE"/>
    <w:rsid w:val="3CCB41DF"/>
    <w:rsid w:val="3CF5D085"/>
    <w:rsid w:val="3D4C1636"/>
    <w:rsid w:val="3D8A2BCE"/>
    <w:rsid w:val="3EB6DCDB"/>
    <w:rsid w:val="3EFE0F0F"/>
    <w:rsid w:val="3F07190F"/>
    <w:rsid w:val="3F9B3876"/>
    <w:rsid w:val="3FDE9B93"/>
    <w:rsid w:val="40740FE9"/>
    <w:rsid w:val="43B45BF2"/>
    <w:rsid w:val="444E370B"/>
    <w:rsid w:val="44F0510A"/>
    <w:rsid w:val="452844B3"/>
    <w:rsid w:val="466E468E"/>
    <w:rsid w:val="474601D1"/>
    <w:rsid w:val="48B77D66"/>
    <w:rsid w:val="4C061C7F"/>
    <w:rsid w:val="4CFB49E9"/>
    <w:rsid w:val="4D8E3538"/>
    <w:rsid w:val="4D994044"/>
    <w:rsid w:val="4D9C5D47"/>
    <w:rsid w:val="4DA40E17"/>
    <w:rsid w:val="4E81097D"/>
    <w:rsid w:val="4EB14D2E"/>
    <w:rsid w:val="4F0E54FA"/>
    <w:rsid w:val="51E377E6"/>
    <w:rsid w:val="524A2FC4"/>
    <w:rsid w:val="52627B01"/>
    <w:rsid w:val="53B10D26"/>
    <w:rsid w:val="53DFFD78"/>
    <w:rsid w:val="5402465F"/>
    <w:rsid w:val="54186866"/>
    <w:rsid w:val="54981DC2"/>
    <w:rsid w:val="56AA76EC"/>
    <w:rsid w:val="57EF20D3"/>
    <w:rsid w:val="5851702E"/>
    <w:rsid w:val="59A858F0"/>
    <w:rsid w:val="5A064FA3"/>
    <w:rsid w:val="5AEE3F18"/>
    <w:rsid w:val="5D3C6F21"/>
    <w:rsid w:val="5DEF3EF4"/>
    <w:rsid w:val="5E954865"/>
    <w:rsid w:val="5EBA4F19"/>
    <w:rsid w:val="60B26558"/>
    <w:rsid w:val="617903FA"/>
    <w:rsid w:val="622E3C39"/>
    <w:rsid w:val="62B91A50"/>
    <w:rsid w:val="62F1386C"/>
    <w:rsid w:val="63115021"/>
    <w:rsid w:val="63303425"/>
    <w:rsid w:val="65296E32"/>
    <w:rsid w:val="65CE66FE"/>
    <w:rsid w:val="65D72C32"/>
    <w:rsid w:val="66533D16"/>
    <w:rsid w:val="6710043C"/>
    <w:rsid w:val="67CE78E7"/>
    <w:rsid w:val="696E24C2"/>
    <w:rsid w:val="699E02CC"/>
    <w:rsid w:val="69EC3891"/>
    <w:rsid w:val="6B335F6A"/>
    <w:rsid w:val="6B5C0133"/>
    <w:rsid w:val="6B637A64"/>
    <w:rsid w:val="6C107AE1"/>
    <w:rsid w:val="6C1B1CF2"/>
    <w:rsid w:val="6C92189C"/>
    <w:rsid w:val="6CAD0DD6"/>
    <w:rsid w:val="6DB91E4A"/>
    <w:rsid w:val="6DDCEB1F"/>
    <w:rsid w:val="6EA74459"/>
    <w:rsid w:val="6EB51080"/>
    <w:rsid w:val="6EB51E74"/>
    <w:rsid w:val="6F0410FD"/>
    <w:rsid w:val="6FAF581C"/>
    <w:rsid w:val="6FDE63A0"/>
    <w:rsid w:val="6FEA407E"/>
    <w:rsid w:val="703B6D4C"/>
    <w:rsid w:val="72D66682"/>
    <w:rsid w:val="73BB4003"/>
    <w:rsid w:val="74923035"/>
    <w:rsid w:val="751F7802"/>
    <w:rsid w:val="754D04DF"/>
    <w:rsid w:val="757059C1"/>
    <w:rsid w:val="76C87505"/>
    <w:rsid w:val="77B50E02"/>
    <w:rsid w:val="77D75133"/>
    <w:rsid w:val="77DF58D4"/>
    <w:rsid w:val="785B4497"/>
    <w:rsid w:val="794B7760"/>
    <w:rsid w:val="7A467819"/>
    <w:rsid w:val="7B7F1438"/>
    <w:rsid w:val="7B7F8109"/>
    <w:rsid w:val="7B876830"/>
    <w:rsid w:val="7C605C0B"/>
    <w:rsid w:val="7D3478E1"/>
    <w:rsid w:val="7DAB26EB"/>
    <w:rsid w:val="7E5E2CAF"/>
    <w:rsid w:val="7EEF60AB"/>
    <w:rsid w:val="7F5FD496"/>
    <w:rsid w:val="7F7F414B"/>
    <w:rsid w:val="7F80B5A5"/>
    <w:rsid w:val="7F9D3EF5"/>
    <w:rsid w:val="7FBE2495"/>
    <w:rsid w:val="7FE5F385"/>
    <w:rsid w:val="7FEF7120"/>
    <w:rsid w:val="7FFDB40D"/>
    <w:rsid w:val="85DFA729"/>
    <w:rsid w:val="AFFF1CA1"/>
    <w:rsid w:val="B5F60347"/>
    <w:rsid w:val="B93E8D79"/>
    <w:rsid w:val="BEF7F21D"/>
    <w:rsid w:val="CDEC7A8B"/>
    <w:rsid w:val="D7EB6491"/>
    <w:rsid w:val="D93FAF7E"/>
    <w:rsid w:val="DBB4285B"/>
    <w:rsid w:val="E97CF3A4"/>
    <w:rsid w:val="EA8F37A5"/>
    <w:rsid w:val="EAFC9D60"/>
    <w:rsid w:val="EF486C34"/>
    <w:rsid w:val="EFE90C45"/>
    <w:rsid w:val="EFF71D07"/>
    <w:rsid w:val="F6FF7F2A"/>
    <w:rsid w:val="F89321CE"/>
    <w:rsid w:val="FC5FC5E1"/>
    <w:rsid w:val="FD9F5E7E"/>
    <w:rsid w:val="FE7DC245"/>
    <w:rsid w:val="FFE1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120" w:after="120" w:line="416" w:lineRule="auto"/>
      <w:outlineLvl w:val="1"/>
    </w:pPr>
    <w:rPr>
      <w:rFonts w:ascii="Arial" w:hAnsi="Arial" w:eastAsia="黑体"/>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L正文样式"/>
    <w:basedOn w:val="1"/>
    <w:qFormat/>
    <w:uiPriority w:val="0"/>
    <w:pPr>
      <w:widowControl w:val="0"/>
      <w:adjustRightInd/>
      <w:snapToGrid/>
      <w:spacing w:after="0" w:line="360" w:lineRule="auto"/>
      <w:ind w:firstLine="200" w:firstLineChars="200"/>
      <w:jc w:val="both"/>
    </w:pPr>
    <w:rPr>
      <w:rFonts w:ascii="Arial" w:hAnsi="Arial" w:eastAsia="宋体" w:cs="Times New Roman"/>
      <w:kern w:val="2"/>
      <w:sz w:val="24"/>
    </w:rPr>
  </w:style>
  <w:style w:type="character" w:customStyle="1" w:styleId="12">
    <w:name w:val="fontstyle01"/>
    <w:basedOn w:val="10"/>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5020</Words>
  <Characters>5109</Characters>
  <Lines>0</Lines>
  <Paragraphs>0</Paragraphs>
  <TotalTime>12</TotalTime>
  <ScaleCrop>false</ScaleCrop>
  <LinksUpToDate>false</LinksUpToDate>
  <CharactersWithSpaces>5330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2020-04-02T03:14:00Z</dcterms:created>
  <dc:creator>李莎</dc:creator>
  <cp:lastModifiedBy>lisa</cp:lastModifiedBy>
  <cp:lastPrinted>2022-08-12T09:23:00Z</cp:lastPrinted>
  <dcterms:modified xsi:type="dcterms:W3CDTF">2022-08-25T16:14:50Z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